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3DD8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常德市建设工程消防审验管理工作</w:t>
      </w:r>
    </w:p>
    <w:p w14:paraId="6BF3A19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协同机制</w:t>
      </w:r>
    </w:p>
    <w:p w14:paraId="5683C9E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jc w:val="center"/>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val="0"/>
          <w:bCs w:val="0"/>
          <w:kern w:val="2"/>
          <w:sz w:val="32"/>
          <w:szCs w:val="32"/>
          <w:lang w:val="en-US" w:eastAsia="zh-CN" w:bidi="ar-SA"/>
        </w:rPr>
        <w:t>（试  行）</w:t>
      </w:r>
    </w:p>
    <w:p w14:paraId="0A71F1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jc w:val="both"/>
        <w:textAlignment w:val="auto"/>
        <w:rPr>
          <w:rFonts w:hint="eastAsia" w:ascii="仿宋_GB2312" w:hAnsi="仿宋_GB2312" w:eastAsia="仿宋_GB2312" w:cs="仿宋_GB2312"/>
          <w:b/>
          <w:bCs/>
          <w:kern w:val="2"/>
          <w:sz w:val="32"/>
          <w:szCs w:val="32"/>
          <w:lang w:val="en-US" w:eastAsia="zh-CN" w:bidi="ar-SA"/>
        </w:rPr>
      </w:pPr>
    </w:p>
    <w:p w14:paraId="7B4BA8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一、建立信息共享机制</w:t>
      </w:r>
    </w:p>
    <w:p w14:paraId="3A95ED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基础资料协同调阅机制。在开展建设工程消防审验工作时，对于建设工程规划许可（含审批单）、2019年4月1日前的建设工程消防审验档案、不动产登记等基础资料，自然资源、消防救援和相关行业主管部门等应为住建部门调阅提供配合和支持。</w:t>
      </w:r>
    </w:p>
    <w:p w14:paraId="578D60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（二）审验信息定期共享机制。住建部门应当每月将建设工程消防验收项目情况告知消防救援部门，并与消防救援部门共享建筑平面图、消防设施平面布置图、消防设施系统图等资料。</w:t>
      </w:r>
    </w:p>
    <w:p w14:paraId="32BA5C7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（三）政策文件互抄互告机制。住建、自然资源、消防救援等部门新出台的涉及消防审验、监管相关政策、国家标准、地方性标准及规范性文件，及时互相抄告、实现信息共享。</w:t>
      </w:r>
    </w:p>
    <w:p w14:paraId="216F9F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（四）火灾形势研判通报机制。消防救援部门开展消防安全形势分析研判形成的报告，及时抄送同级住建部门和相关行业主管部门，便于各部门结合工作职责及时预警，并有针对性地采取防范措施。</w:t>
      </w:r>
    </w:p>
    <w:p w14:paraId="323908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二、建立消防监管业务协同机制</w:t>
      </w:r>
    </w:p>
    <w:p w14:paraId="7DF488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审核审批联动机制。各级行业安全监管部门、业务审批管理部门，在审批监管事项中，将消防行政许可或涉及消防安全的法定条件作为重要查验内容。严格落实监管责任：属于《建设工程消防设计审查验收管理暂行规定》明确的特殊建设工程的，应督促建设单位依法办理消防设计审查验收；对于特殊建设工程以外的其他按照国家工程建设消防技术标准需要进行消防设计的建设工程，应督促建设单位依法办理消防验收备案。涉及公众聚集场所的，应督促建设单位或使用单位依法办理投入使用、营业前消防安全检查。</w:t>
      </w:r>
    </w:p>
    <w:p w14:paraId="4F8FFE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公众聚集场所联合审验机制。推进公众聚集场所联合验收一件事高效办理。按照《住房城乡建设部办公厅等关于深入推进建设项目联合验收“一件事”的实施意见》要求，推动实现公众聚集场所建设工程联合验收“一窗受理”“联合勘验”“一网通办”。</w:t>
      </w:r>
    </w:p>
    <w:p w14:paraId="71D708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消防验收与监督衔接机制。根据住建部门或行业主管部门需要，消防救援部门在条件允许情况下，可以协助开展消防通道、消防扑救面的登高救援测试及消防设施设备检测验证工作；住建部门在开展消防验收现场评定或者备案抽查现场检查时，提醒建设单位做好消防车道、消防车登高操作场地标线施划等工作。</w:t>
      </w:r>
    </w:p>
    <w:p w14:paraId="062E3ED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（八）无需消防审验手续认定机制。按照国家工程建设消防技术标准无需进行消防设计的建设工程或者未产生实际建设行为的场所，住建部门无需办理建设工程消防审验手续。</w:t>
      </w:r>
    </w:p>
    <w:p w14:paraId="5349C7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既有建筑改造审批协同机制。针对老旧小区、旧厂区、1998年9月1日以前建成的既有建筑等历史遗留项目，以及城市更新、历史建筑改造利用过程中的建筑消防安全疑难问题，住建、自然资源、城管、消防救援、所属行业主管等部门应积极联动，共同探索新途径，着力提升建筑消防安全水平。针对涉及建筑周边消防救援方面的内容，由消防救援部门根据建筑实际情况提出技术指导意见，确保标准统一规范、科学合理、安全可靠。</w:t>
      </w:r>
    </w:p>
    <w:p w14:paraId="22DC6B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三、建立执法协作机制</w:t>
      </w:r>
    </w:p>
    <w:p w14:paraId="41A690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违法违规线索移送机制。各行业主管部门在日常监管中发现未经消防设计审查或审查不合格擅自施工、未经消防验收或验收不合格擅自投入使用等违法线索，及时移送住建、城管部门依法查处；发现公众聚集场所未经消防安全检查合格擅自投入使用、营业等违法线索，及时移送消防救援部门处理。各行业主管部门在移送线索的同时应同步督促相关责任主体整改，消除消防安全隐患，实现线索互通、执法联动、整改闭环。</w:t>
      </w:r>
    </w:p>
    <w:p w14:paraId="4A66F8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信用评价互认机制。各部门对建设工程消防领域违法违规行为查处结果，作为相关单位信用评价、行业许可、资质管理的重要依据；对严重违法失信、重大隐患逾期未整改的单位和个人，依法依规实施联合惩戒，实行“零容忍”，从严查处并公开曝光典型案例，形成强力震慑。</w:t>
      </w:r>
    </w:p>
    <w:p w14:paraId="25BBF9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联合执法处置机制。对消防安全领域存在的突出隐患问题，由住建、城管、消防救援、行业主管等部门依据《中华人民共和国消防法》等法律法规和标准规范的要求，按照《国务院办公厅关于严格规范涉企行政检查的意见》和《湖南省跨部门综合监管办法》的要求，深入开展联合执法检查，依法查处违法行为。</w:t>
      </w:r>
    </w:p>
    <w:p w14:paraId="1B38E9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b w:val="0"/>
          <w:bCs w:val="0"/>
          <w:kern w:val="2"/>
          <w:sz w:val="32"/>
          <w:szCs w:val="32"/>
          <w:lang w:val="en-US" w:eastAsia="zh-CN" w:bidi="ar-SA"/>
        </w:rPr>
        <w:t>四、建立火灾事故联合调查机制</w:t>
      </w:r>
    </w:p>
    <w:p w14:paraId="0CE862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黑体" w:hAnsi="黑体" w:eastAsia="黑体" w:cs="黑体"/>
          <w:b w:val="0"/>
          <w:bCs w:val="0"/>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火灾事故联合调查机制。针对建设工程或场所出现的各类火灾事故，相关部门主动参与消防救援部门组织的火灾事故调查工作。通过组织各行业专家联合复原火灾场景、探究火灾原因，总结并解决防火技术问题，改进工作方式、完善技术标准，推动调查成果转化为火灾防范措施。</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lang w:val="en-US" w:eastAsia="zh-CN" w:bidi="ar-SA"/>
        </w:rPr>
        <w:t xml:space="preserve">    </w:t>
      </w:r>
      <w:r>
        <w:rPr>
          <w:rFonts w:hint="eastAsia" w:ascii="黑体" w:hAnsi="黑体" w:eastAsia="黑体" w:cs="黑体"/>
          <w:b w:val="0"/>
          <w:bCs w:val="0"/>
          <w:kern w:val="2"/>
          <w:sz w:val="32"/>
          <w:szCs w:val="32"/>
          <w:lang w:val="en-US" w:eastAsia="zh-CN" w:bidi="ar-SA"/>
        </w:rPr>
        <w:t>五、建立专家资源开放共享机制</w:t>
      </w:r>
    </w:p>
    <w:p w14:paraId="5A8BF691">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四）专家库资源共享机制。住建、自然资源、应急管理、消防救援等部门建立专家库资源共享机制，吸收各部门技术骨干和社会专业人才，共建共享消防审验、防火监督、消防救援等专家资源，为消防审验、监督管理、火灾调查和业务培训提供技术支撑。</w:t>
      </w:r>
    </w:p>
    <w:p w14:paraId="17378714">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（十五）疑难项目技术支持机制。住建部门开展消防验收现场评定或备案抽查现场检查时，可邀请应急、消防救援及相关行业主管部门的专家对疑难复杂的特殊建设工程消防验收提供技术支持。</w:t>
      </w:r>
    </w:p>
    <w:p w14:paraId="226E2B55">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各</w:t>
      </w:r>
      <w:r>
        <w:rPr>
          <w:rFonts w:hint="eastAsia" w:ascii="仿宋_GB2312" w:hAnsi="仿宋_GB2312" w:eastAsia="仿宋_GB2312" w:cs="仿宋_GB2312"/>
          <w:kern w:val="2"/>
          <w:sz w:val="32"/>
          <w:szCs w:val="32"/>
          <w:lang w:val="en-US" w:eastAsia="zh-CN" w:bidi="ar-SA"/>
        </w:rPr>
        <w:t>区县可以</w:t>
      </w:r>
      <w:r>
        <w:rPr>
          <w:rFonts w:hint="default" w:ascii="仿宋_GB2312" w:hAnsi="仿宋_GB2312" w:eastAsia="仿宋_GB2312" w:cs="仿宋_GB2312"/>
          <w:kern w:val="2"/>
          <w:sz w:val="32"/>
          <w:szCs w:val="32"/>
          <w:lang w:val="en-US" w:eastAsia="zh-CN" w:bidi="ar-SA"/>
        </w:rPr>
        <w:t>结合本地实际，</w:t>
      </w:r>
      <w:r>
        <w:rPr>
          <w:rFonts w:hint="eastAsia" w:ascii="仿宋_GB2312" w:hAnsi="仿宋_GB2312" w:eastAsia="仿宋_GB2312" w:cs="仿宋_GB2312"/>
          <w:kern w:val="2"/>
          <w:sz w:val="32"/>
          <w:szCs w:val="32"/>
          <w:lang w:val="en-US" w:eastAsia="zh-CN" w:bidi="ar-SA"/>
        </w:rPr>
        <w:t>细化完善本地区的消防审验管理工作协同机制</w:t>
      </w:r>
      <w:r>
        <w:rPr>
          <w:rFonts w:hint="default" w:ascii="仿宋_GB2312" w:hAnsi="仿宋_GB2312" w:eastAsia="仿宋_GB2312" w:cs="仿宋_GB2312"/>
          <w:kern w:val="2"/>
          <w:sz w:val="32"/>
          <w:szCs w:val="32"/>
          <w:lang w:val="en-US" w:eastAsia="zh-CN" w:bidi="ar-SA"/>
        </w:rPr>
        <w:t>，共同构建起事前事中事后消防安全监督管理体系。</w:t>
      </w:r>
    </w:p>
    <w:p w14:paraId="4F98A2B0">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本机制</w:t>
      </w:r>
      <w:r>
        <w:rPr>
          <w:rFonts w:hint="default" w:ascii="仿宋_GB2312" w:hAnsi="仿宋_GB2312" w:eastAsia="仿宋_GB2312" w:cs="仿宋_GB2312"/>
          <w:kern w:val="2"/>
          <w:sz w:val="32"/>
          <w:szCs w:val="32"/>
          <w:lang w:val="en-US" w:eastAsia="zh-CN" w:bidi="ar-SA"/>
        </w:rPr>
        <w:t>自2026年</w:t>
      </w:r>
      <w:r>
        <w:rPr>
          <w:rFonts w:hint="eastAsia" w:ascii="仿宋_GB2312" w:hAnsi="仿宋_GB2312" w:eastAsia="仿宋_GB2312" w:cs="仿宋_GB2312"/>
          <w:kern w:val="2"/>
          <w:sz w:val="32"/>
          <w:szCs w:val="32"/>
          <w:lang w:val="en-US" w:eastAsia="zh-CN" w:bidi="ar-SA"/>
        </w:rPr>
        <w:t>7</w:t>
      </w:r>
      <w:r>
        <w:rPr>
          <w:rFonts w:hint="default" w:ascii="仿宋_GB2312" w:hAnsi="仿宋_GB2312" w:eastAsia="仿宋_GB2312" w:cs="仿宋_GB2312"/>
          <w:kern w:val="2"/>
          <w:sz w:val="32"/>
          <w:szCs w:val="32"/>
          <w:lang w:val="en-US" w:eastAsia="zh-CN" w:bidi="ar-SA"/>
        </w:rPr>
        <w:t>月</w:t>
      </w:r>
      <w:r>
        <w:rPr>
          <w:rFonts w:hint="eastAsia" w:ascii="仿宋_GB2312" w:hAnsi="仿宋_GB2312" w:eastAsia="仿宋_GB2312" w:cs="仿宋_GB2312"/>
          <w:kern w:val="2"/>
          <w:sz w:val="32"/>
          <w:szCs w:val="32"/>
          <w:lang w:val="en-US" w:eastAsia="zh-CN" w:bidi="ar-SA"/>
        </w:rPr>
        <w:t>8</w:t>
      </w:r>
      <w:r>
        <w:rPr>
          <w:rFonts w:hint="default" w:ascii="仿宋_GB2312" w:hAnsi="仿宋_GB2312" w:eastAsia="仿宋_GB2312" w:cs="仿宋_GB2312"/>
          <w:kern w:val="2"/>
          <w:sz w:val="32"/>
          <w:szCs w:val="32"/>
          <w:lang w:val="en-US" w:eastAsia="zh-CN" w:bidi="ar-SA"/>
        </w:rPr>
        <w:t>日起施行，有效期至20</w:t>
      </w:r>
      <w:r>
        <w:rPr>
          <w:rFonts w:hint="eastAsia" w:ascii="仿宋_GB2312" w:hAnsi="仿宋_GB2312" w:eastAsia="仿宋_GB2312" w:cs="仿宋_GB2312"/>
          <w:kern w:val="2"/>
          <w:sz w:val="32"/>
          <w:szCs w:val="32"/>
          <w:lang w:val="en-US" w:eastAsia="zh-CN" w:bidi="ar-SA"/>
        </w:rPr>
        <w:t>28</w:t>
      </w:r>
      <w:r>
        <w:rPr>
          <w:rFonts w:hint="default" w:ascii="仿宋_GB2312" w:hAnsi="仿宋_GB2312" w:eastAsia="仿宋_GB2312" w:cs="仿宋_GB2312"/>
          <w:kern w:val="2"/>
          <w:sz w:val="32"/>
          <w:szCs w:val="32"/>
          <w:lang w:val="en-US" w:eastAsia="zh-CN" w:bidi="ar-SA"/>
        </w:rPr>
        <w:t>年</w:t>
      </w:r>
      <w:r>
        <w:rPr>
          <w:rFonts w:hint="eastAsia" w:ascii="仿宋_GB2312" w:hAnsi="仿宋_GB2312" w:eastAsia="仿宋_GB2312" w:cs="仿宋_GB2312"/>
          <w:kern w:val="2"/>
          <w:sz w:val="32"/>
          <w:szCs w:val="32"/>
          <w:lang w:val="en-US" w:eastAsia="zh-CN" w:bidi="ar-SA"/>
        </w:rPr>
        <w:t>7</w:t>
      </w:r>
      <w:r>
        <w:rPr>
          <w:rFonts w:hint="default" w:ascii="仿宋_GB2312" w:hAnsi="仿宋_GB2312" w:eastAsia="仿宋_GB2312" w:cs="仿宋_GB2312"/>
          <w:kern w:val="2"/>
          <w:sz w:val="32"/>
          <w:szCs w:val="32"/>
          <w:lang w:val="en-US" w:eastAsia="zh-CN" w:bidi="ar-SA"/>
        </w:rPr>
        <w:t>月</w:t>
      </w:r>
      <w:r>
        <w:rPr>
          <w:rFonts w:hint="eastAsia" w:ascii="仿宋_GB2312" w:hAnsi="仿宋_GB2312" w:eastAsia="仿宋_GB2312" w:cs="仿宋_GB2312"/>
          <w:kern w:val="2"/>
          <w:sz w:val="32"/>
          <w:szCs w:val="32"/>
          <w:lang w:val="en-US" w:eastAsia="zh-CN" w:bidi="ar-SA"/>
        </w:rPr>
        <w:t>8</w:t>
      </w:r>
      <w:bookmarkStart w:id="0" w:name="_GoBack"/>
      <w:bookmarkEnd w:id="0"/>
      <w:r>
        <w:rPr>
          <w:rFonts w:hint="default" w:ascii="仿宋_GB2312" w:hAnsi="仿宋_GB2312" w:eastAsia="仿宋_GB2312" w:cs="仿宋_GB2312"/>
          <w:kern w:val="2"/>
          <w:sz w:val="32"/>
          <w:szCs w:val="32"/>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2ZGNlZTMzZjA0NGI4NTU0MGE1NzFhMzU2MjNlYzcifQ=="/>
  </w:docVars>
  <w:rsids>
    <w:rsidRoot w:val="00000000"/>
    <w:rsid w:val="01FD1666"/>
    <w:rsid w:val="084836BC"/>
    <w:rsid w:val="0B6D11CE"/>
    <w:rsid w:val="0B996E37"/>
    <w:rsid w:val="0BBF3C0B"/>
    <w:rsid w:val="0BD5665C"/>
    <w:rsid w:val="0BEC5687"/>
    <w:rsid w:val="112E0994"/>
    <w:rsid w:val="113C38DE"/>
    <w:rsid w:val="11601AA2"/>
    <w:rsid w:val="137E16B6"/>
    <w:rsid w:val="14EE0E0D"/>
    <w:rsid w:val="16A4506E"/>
    <w:rsid w:val="195425EF"/>
    <w:rsid w:val="1B7B4E5C"/>
    <w:rsid w:val="1D0C7C1D"/>
    <w:rsid w:val="20205A54"/>
    <w:rsid w:val="226D018B"/>
    <w:rsid w:val="235163B5"/>
    <w:rsid w:val="23996B38"/>
    <w:rsid w:val="25BE6D07"/>
    <w:rsid w:val="29DC183A"/>
    <w:rsid w:val="2B261206"/>
    <w:rsid w:val="2C166127"/>
    <w:rsid w:val="2CC32CB2"/>
    <w:rsid w:val="2DE31272"/>
    <w:rsid w:val="312D1C4B"/>
    <w:rsid w:val="3C420CC5"/>
    <w:rsid w:val="40A65704"/>
    <w:rsid w:val="47A5180C"/>
    <w:rsid w:val="4AA82E5E"/>
    <w:rsid w:val="4D963D76"/>
    <w:rsid w:val="4DCD4FF1"/>
    <w:rsid w:val="5046061D"/>
    <w:rsid w:val="57C204E8"/>
    <w:rsid w:val="588565C6"/>
    <w:rsid w:val="5A514692"/>
    <w:rsid w:val="5A730538"/>
    <w:rsid w:val="5C017881"/>
    <w:rsid w:val="5D5F0675"/>
    <w:rsid w:val="65DD6A95"/>
    <w:rsid w:val="6E3F5258"/>
    <w:rsid w:val="6ED07018"/>
    <w:rsid w:val="6EF41346"/>
    <w:rsid w:val="70A97ADA"/>
    <w:rsid w:val="710E5AB6"/>
    <w:rsid w:val="72264D1E"/>
    <w:rsid w:val="72C20586"/>
    <w:rsid w:val="736B59A9"/>
    <w:rsid w:val="73BD3C97"/>
    <w:rsid w:val="7C7A3820"/>
    <w:rsid w:val="7CAB4D9F"/>
    <w:rsid w:val="EFF7E513"/>
    <w:rsid w:val="F5FA83A2"/>
    <w:rsid w:val="FE79A4E1"/>
    <w:rsid w:val="FFFBD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2058</Words>
  <Characters>2072</Characters>
  <Lines>0</Lines>
  <Paragraphs>0</Paragraphs>
  <TotalTime>3</TotalTime>
  <ScaleCrop>false</ScaleCrop>
  <LinksUpToDate>false</LinksUpToDate>
  <CharactersWithSpaces>2078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2026-04-07T14:58:00Z</dcterms:created>
  <dc:creator>JaberMay</dc:creator>
  <cp:lastModifiedBy>JaberMay</cp:lastModifiedBy>
  <cp:lastPrinted>2026-05-29T02:49:00Z</cp:lastPrinted>
  <dcterms:modified xsi:type="dcterms:W3CDTF">2026-07-14T02:07:20Z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eyJoZGlkIjoiYTc2ZGZiNzZiNDVlOGViOWVmM2JhOTY0NGJkNjUyYzgiLCJ1c2VySWQiOiIxMjE1MjIxODM2In0=</vt:lpwstr>
  </property>
  <property fmtid="{D5CDD505-2E9C-101B-9397-08002B2CF9AE}" pid="4" name="ICV">
    <vt:lpwstr>964D6146AD2345BD850F82BF53821002_13</vt:lpwstr>
  </property>
</Properties>
</file>