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adjustRightInd w:val="0"/>
        <w:snapToGrid w:val="0"/>
        <w:spacing w:beforeLines="50" w:line="360" w:lineRule="exact"/>
        <w:outlineLvl w:val="0"/>
        <w:rPr>
          <w:rFonts w:ascii="宋体" w:hAnsi="宋体"/>
          <w:b/>
          <w:bCs/>
          <w:color w:val="000000"/>
          <w:sz w:val="32"/>
          <w:szCs w:val="32"/>
        </w:rPr>
      </w:pPr>
      <w:r>
        <w:rPr>
          <w:rFonts w:hint="eastAsia" w:ascii="宋体" w:hAnsi="宋体"/>
          <w:b/>
          <w:bCs/>
          <w:color w:val="000000"/>
          <w:sz w:val="32"/>
          <w:szCs w:val="32"/>
        </w:rPr>
        <w:t>商务、技术评分表（总分9</w:t>
      </w:r>
      <w:r>
        <w:rPr>
          <w:rFonts w:hint="eastAsia" w:ascii="宋体" w:hAnsi="宋体"/>
          <w:b/>
          <w:bCs/>
          <w:color w:val="000000"/>
          <w:sz w:val="32"/>
          <w:szCs w:val="32"/>
          <w:lang w:val="en-US" w:eastAsia="zh-CN"/>
        </w:rPr>
        <w:t>5</w:t>
      </w:r>
      <w:r>
        <w:rPr>
          <w:rFonts w:hint="eastAsia" w:ascii="宋体" w:hAnsi="宋体"/>
          <w:b/>
          <w:bCs/>
          <w:color w:val="000000"/>
          <w:sz w:val="32"/>
          <w:szCs w:val="32"/>
        </w:rPr>
        <w:t>分）</w:t>
      </w:r>
    </w:p>
    <w:p>
      <w:pPr>
        <w:adjustRightInd w:val="0"/>
        <w:snapToGrid w:val="0"/>
        <w:spacing w:beforeLines="50" w:line="360" w:lineRule="exact"/>
        <w:ind w:left="1980" w:leftChars="943" w:firstLine="3158" w:firstLineChars="983"/>
        <w:outlineLvl w:val="0"/>
        <w:rPr>
          <w:rFonts w:ascii="宋体" w:hAnsi="宋体"/>
          <w:b/>
          <w:bCs/>
          <w:color w:val="000000"/>
          <w:sz w:val="32"/>
          <w:szCs w:val="32"/>
        </w:rPr>
      </w:pPr>
    </w:p>
    <w:tbl>
      <w:tblPr>
        <w:tblStyle w:val="4"/>
        <w:tblW w:w="9573" w:type="dxa"/>
        <w:jc w:val="center"/>
        <w:tblInd w:w="433" w:type="dxa"/>
        <w:tblLayout w:type="fixed"/>
        <w:tblCellMar>
          <w:top w:w="15" w:type="dxa"/>
          <w:left w:w="15" w:type="dxa"/>
          <w:bottom w:w="15" w:type="dxa"/>
          <w:right w:w="15" w:type="dxa"/>
        </w:tblCellMar>
      </w:tblPr>
      <w:tblGrid>
        <w:gridCol w:w="731"/>
        <w:gridCol w:w="975"/>
        <w:gridCol w:w="765"/>
        <w:gridCol w:w="6252"/>
        <w:gridCol w:w="850"/>
      </w:tblGrid>
      <w:tr>
        <w:tblPrEx>
          <w:tblLayout w:type="fixed"/>
          <w:tblCellMar>
            <w:top w:w="15" w:type="dxa"/>
            <w:left w:w="15" w:type="dxa"/>
            <w:bottom w:w="15" w:type="dxa"/>
            <w:right w:w="15" w:type="dxa"/>
          </w:tblCellMar>
        </w:tblPrEx>
        <w:trPr>
          <w:trHeight w:val="90" w:hRule="atLeast"/>
          <w:tblHeader/>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szCs w:val="21"/>
              </w:rPr>
            </w:pPr>
            <w:r>
              <w:rPr>
                <w:rFonts w:hint="eastAsia" w:ascii="宋体" w:hAnsi="宋体" w:cs="宋体"/>
                <w:b/>
                <w:color w:val="000000"/>
                <w:kern w:val="0"/>
                <w:szCs w:val="21"/>
              </w:rPr>
              <w:t>评分因素</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szCs w:val="21"/>
              </w:rPr>
            </w:pPr>
            <w:r>
              <w:rPr>
                <w:rFonts w:hint="eastAsia" w:ascii="宋体" w:hAnsi="宋体" w:cs="宋体"/>
                <w:b/>
                <w:color w:val="000000"/>
                <w:kern w:val="0"/>
                <w:szCs w:val="21"/>
              </w:rPr>
              <w:t>分值</w:t>
            </w:r>
          </w:p>
        </w:tc>
        <w:tc>
          <w:tcPr>
            <w:tcW w:w="625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szCs w:val="21"/>
              </w:rPr>
            </w:pPr>
            <w:r>
              <w:rPr>
                <w:rFonts w:hint="eastAsia" w:ascii="宋体" w:hAnsi="宋体" w:cs="宋体"/>
                <w:b/>
                <w:color w:val="000000"/>
                <w:kern w:val="0"/>
                <w:szCs w:val="21"/>
              </w:rPr>
              <w:t>评分标准</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rPr>
              <w:t>得分</w:t>
            </w:r>
          </w:p>
        </w:tc>
      </w:tr>
      <w:tr>
        <w:tblPrEx>
          <w:tblLayout w:type="fixed"/>
          <w:tblCellMar>
            <w:top w:w="15" w:type="dxa"/>
            <w:left w:w="15" w:type="dxa"/>
            <w:bottom w:w="15" w:type="dxa"/>
            <w:right w:w="15" w:type="dxa"/>
          </w:tblCellMar>
        </w:tblPrEx>
        <w:trPr>
          <w:trHeight w:val="340" w:hRule="atLeast"/>
          <w:tblHeader/>
          <w:jc w:val="center"/>
        </w:trPr>
        <w:tc>
          <w:tcPr>
            <w:tcW w:w="9573"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b/>
                <w:color w:val="000000"/>
                <w:szCs w:val="21"/>
              </w:rPr>
            </w:pPr>
            <w:r>
              <w:rPr>
                <w:rFonts w:hint="eastAsia" w:ascii="宋体" w:hAnsi="宋体" w:cs="宋体"/>
                <w:b/>
                <w:color w:val="000000"/>
                <w:kern w:val="0"/>
                <w:szCs w:val="21"/>
              </w:rPr>
              <w:t xml:space="preserve">（1）商务部分   总分值：12分                                                                   </w:t>
            </w:r>
          </w:p>
        </w:tc>
      </w:tr>
      <w:tr>
        <w:tblPrEx>
          <w:tblLayout w:type="fixed"/>
          <w:tblCellMar>
            <w:top w:w="15" w:type="dxa"/>
            <w:left w:w="15" w:type="dxa"/>
            <w:bottom w:w="15" w:type="dxa"/>
            <w:right w:w="15" w:type="dxa"/>
          </w:tblCellMar>
        </w:tblPrEx>
        <w:trPr>
          <w:trHeight w:val="340" w:hRule="atLeast"/>
          <w:tblHeader/>
          <w:jc w:val="center"/>
        </w:trPr>
        <w:tc>
          <w:tcPr>
            <w:tcW w:w="731" w:type="dxa"/>
            <w:vMerge w:val="restart"/>
            <w:tcBorders>
              <w:left w:val="single" w:color="000000" w:sz="4" w:space="0"/>
              <w:right w:val="single" w:color="000000" w:sz="4" w:space="0"/>
            </w:tcBorders>
            <w:vAlign w:val="center"/>
          </w:tcPr>
          <w:p>
            <w:pPr>
              <w:spacing w:line="320" w:lineRule="exact"/>
              <w:jc w:val="center"/>
              <w:rPr>
                <w:rFonts w:ascii="宋体" w:hAnsi="宋体" w:cs="宋体"/>
                <w:color w:val="000000"/>
                <w:sz w:val="18"/>
                <w:szCs w:val="18"/>
              </w:rPr>
            </w:pPr>
          </w:p>
        </w:tc>
        <w:tc>
          <w:tcPr>
            <w:tcW w:w="975" w:type="dxa"/>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rPr>
              <w:t>企业资质</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3分</w:t>
            </w:r>
          </w:p>
        </w:tc>
        <w:tc>
          <w:tcPr>
            <w:tcW w:w="625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投标人为市级高新企业的计1分，省级以上高新企业的计3分</w:t>
            </w:r>
            <w:r>
              <w:rPr>
                <w:rFonts w:hint="eastAsia" w:ascii="仿宋" w:hAnsi="仿宋" w:eastAsia="仿宋" w:cs="宋体"/>
                <w:color w:val="000000"/>
                <w:sz w:val="24"/>
                <w:lang w:val="en-US" w:eastAsia="zh-CN"/>
              </w:rPr>
              <w:t>,</w:t>
            </w:r>
            <w:r>
              <w:rPr>
                <w:rFonts w:hint="eastAsia" w:ascii="仿宋" w:hAnsi="仿宋" w:eastAsia="仿宋" w:cs="宋体"/>
                <w:color w:val="000000"/>
                <w:sz w:val="24"/>
              </w:rPr>
              <w:t>没有不计分。</w:t>
            </w:r>
          </w:p>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投标文件内附证书复印件，原件备查</w:t>
            </w:r>
            <w:r>
              <w:rPr>
                <w:rFonts w:hint="eastAsia" w:ascii="仿宋" w:hAnsi="仿宋" w:eastAsia="仿宋" w:cs="宋体"/>
                <w:color w:val="000000"/>
                <w:sz w:val="24"/>
                <w:lang w:val="en-US" w:eastAsia="zh-CN"/>
              </w:rPr>
              <w:t>,无原件不计分</w:t>
            </w:r>
            <w:r>
              <w:rPr>
                <w:rFonts w:hint="eastAsia" w:ascii="仿宋" w:hAnsi="仿宋" w:eastAsia="仿宋" w:cs="宋体"/>
                <w:color w:val="000000"/>
                <w:sz w:val="24"/>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仿宋" w:hAnsi="仿宋" w:eastAsia="仿宋" w:cs="宋体"/>
                <w:color w:val="000000"/>
                <w:sz w:val="24"/>
              </w:rPr>
            </w:pPr>
          </w:p>
        </w:tc>
      </w:tr>
      <w:tr>
        <w:tblPrEx>
          <w:tblLayout w:type="fixed"/>
          <w:tblCellMar>
            <w:top w:w="15" w:type="dxa"/>
            <w:left w:w="15" w:type="dxa"/>
            <w:bottom w:w="15" w:type="dxa"/>
            <w:right w:w="15" w:type="dxa"/>
          </w:tblCellMar>
        </w:tblPrEx>
        <w:trPr>
          <w:trHeight w:val="340" w:hRule="atLeast"/>
          <w:tblHeader/>
          <w:jc w:val="center"/>
        </w:trPr>
        <w:tc>
          <w:tcPr>
            <w:tcW w:w="731" w:type="dxa"/>
            <w:vMerge w:val="continue"/>
            <w:tcBorders>
              <w:left w:val="single" w:color="000000" w:sz="4" w:space="0"/>
              <w:right w:val="single" w:color="000000" w:sz="4" w:space="0"/>
            </w:tcBorders>
            <w:vAlign w:val="center"/>
          </w:tcPr>
          <w:p>
            <w:pPr>
              <w:spacing w:line="320" w:lineRule="exact"/>
              <w:jc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rPr>
              <w:t>专业人员保障</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3分</w:t>
            </w:r>
          </w:p>
        </w:tc>
        <w:tc>
          <w:tcPr>
            <w:tcW w:w="625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投标单位具备1人以上信息系统项目管理工程师证书，得2分；具备1人以上软件开发方面中级职称以上的得1 分，没有的不计分。</w:t>
            </w:r>
          </w:p>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提供相关证书和投标单位近6个月为其缴纳社保的证明材料。</w:t>
            </w:r>
          </w:p>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投标文件内附认证证书和证明材料复印件，原件备查</w:t>
            </w: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无原件不计分</w:t>
            </w:r>
            <w:r>
              <w:rPr>
                <w:rFonts w:hint="eastAsia" w:ascii="仿宋" w:hAnsi="仿宋" w:eastAsia="仿宋" w:cs="宋体"/>
                <w:color w:val="000000"/>
                <w:sz w:val="24"/>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仿宋" w:hAnsi="仿宋" w:eastAsia="仿宋" w:cs="宋体"/>
                <w:color w:val="000000"/>
                <w:sz w:val="24"/>
              </w:rPr>
            </w:pPr>
          </w:p>
        </w:tc>
      </w:tr>
      <w:tr>
        <w:tblPrEx>
          <w:tblLayout w:type="fixed"/>
          <w:tblCellMar>
            <w:top w:w="15" w:type="dxa"/>
            <w:left w:w="15" w:type="dxa"/>
            <w:bottom w:w="15" w:type="dxa"/>
            <w:right w:w="15" w:type="dxa"/>
          </w:tblCellMar>
        </w:tblPrEx>
        <w:trPr>
          <w:trHeight w:val="90" w:hRule="atLeast"/>
          <w:tblHeader/>
          <w:jc w:val="center"/>
        </w:trPr>
        <w:tc>
          <w:tcPr>
            <w:tcW w:w="731" w:type="dxa"/>
            <w:vMerge w:val="continue"/>
            <w:tcBorders>
              <w:left w:val="single" w:color="000000" w:sz="4" w:space="0"/>
              <w:right w:val="single" w:color="000000" w:sz="4" w:space="0"/>
            </w:tcBorders>
            <w:vAlign w:val="center"/>
          </w:tcPr>
          <w:p>
            <w:pPr>
              <w:spacing w:line="320" w:lineRule="exact"/>
              <w:jc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rPr>
              <w:t>类似项目</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rPr>
              <w:t>6分</w:t>
            </w:r>
          </w:p>
        </w:tc>
        <w:tc>
          <w:tcPr>
            <w:tcW w:w="625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投标人近三年以来完成过实名制管理平台为主要内容（含软件开发）的项目：每提供一个计2分，最高计6分。</w:t>
            </w:r>
          </w:p>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须提供每个类似项目的合同（关键页）或中标（成交）通知书，复印件盖章，原件备查</w:t>
            </w: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无原件不计分</w:t>
            </w:r>
            <w:r>
              <w:rPr>
                <w:rFonts w:hint="eastAsia" w:ascii="仿宋" w:hAnsi="仿宋" w:eastAsia="仿宋" w:cs="宋体"/>
                <w:color w:val="000000"/>
                <w:sz w:val="24"/>
              </w:rPr>
              <w:t>。提供不全的该单个类似项目不得分。</w:t>
            </w:r>
          </w:p>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注：上述类似项目不重复计分。</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仿宋" w:hAnsi="仿宋" w:eastAsia="仿宋" w:cs="宋体"/>
                <w:color w:val="000000"/>
                <w:sz w:val="24"/>
              </w:rPr>
            </w:pPr>
          </w:p>
        </w:tc>
      </w:tr>
      <w:tr>
        <w:tblPrEx>
          <w:tblLayout w:type="fixed"/>
          <w:tblCellMar>
            <w:top w:w="15" w:type="dxa"/>
            <w:left w:w="15" w:type="dxa"/>
            <w:bottom w:w="15" w:type="dxa"/>
            <w:right w:w="15" w:type="dxa"/>
          </w:tblCellMar>
        </w:tblPrEx>
        <w:trPr>
          <w:trHeight w:val="1103" w:hRule="atLeast"/>
          <w:tblHeader/>
          <w:jc w:val="center"/>
        </w:trPr>
        <w:tc>
          <w:tcPr>
            <w:tcW w:w="872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7320" w:hanging="7320" w:hangingChars="3050"/>
              <w:jc w:val="left"/>
              <w:textAlignment w:val="center"/>
              <w:rPr>
                <w:rFonts w:ascii="仿宋" w:hAnsi="仿宋" w:eastAsia="仿宋" w:cs="宋体"/>
                <w:color w:val="000000"/>
                <w:sz w:val="24"/>
              </w:rPr>
            </w:pPr>
            <w:r>
              <w:rPr>
                <w:rFonts w:hint="eastAsia" w:ascii="仿宋" w:hAnsi="仿宋" w:eastAsia="仿宋" w:cs="宋体"/>
                <w:color w:val="000000"/>
                <w:sz w:val="24"/>
              </w:rPr>
              <w:t xml:space="preserve"> 商务合计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仿宋" w:hAnsi="仿宋" w:eastAsia="仿宋" w:cs="宋体"/>
                <w:color w:val="000000"/>
                <w:sz w:val="24"/>
              </w:rPr>
            </w:pPr>
          </w:p>
        </w:tc>
      </w:tr>
      <w:tr>
        <w:tblPrEx>
          <w:tblLayout w:type="fixed"/>
          <w:tblCellMar>
            <w:top w:w="15" w:type="dxa"/>
            <w:left w:w="15" w:type="dxa"/>
            <w:bottom w:w="15" w:type="dxa"/>
            <w:right w:w="15" w:type="dxa"/>
          </w:tblCellMar>
        </w:tblPrEx>
        <w:trPr>
          <w:trHeight w:val="3286" w:hRule="atLeast"/>
          <w:tblHeader/>
          <w:jc w:val="center"/>
        </w:trPr>
        <w:tc>
          <w:tcPr>
            <w:tcW w:w="872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7320" w:hanging="7320" w:hangingChars="3050"/>
              <w:textAlignment w:val="center"/>
              <w:rPr>
                <w:rFonts w:ascii="仿宋" w:hAnsi="仿宋" w:eastAsia="仿宋" w:cs="宋体"/>
                <w:color w:val="000000"/>
                <w:sz w:val="24"/>
              </w:rPr>
            </w:pPr>
            <w:r>
              <w:rPr>
                <w:rFonts w:hint="eastAsia" w:ascii="仿宋" w:hAnsi="仿宋" w:eastAsia="仿宋" w:cs="宋体"/>
                <w:color w:val="000000"/>
                <w:sz w:val="24"/>
              </w:rPr>
              <w:t>评委签名：</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仿宋" w:hAnsi="仿宋" w:eastAsia="仿宋" w:cs="宋体"/>
                <w:color w:val="000000"/>
                <w:sz w:val="24"/>
              </w:rPr>
            </w:pPr>
          </w:p>
        </w:tc>
      </w:tr>
    </w:tbl>
    <w:p>
      <w:pPr>
        <w:spacing w:line="440" w:lineRule="exact"/>
        <w:jc w:val="left"/>
        <w:rPr>
          <w:rFonts w:ascii="宋体" w:hAnsi="宋体"/>
          <w:b/>
          <w:bCs/>
          <w:color w:val="000000"/>
          <w:sz w:val="24"/>
        </w:rPr>
      </w:pPr>
    </w:p>
    <w:p>
      <w:pPr>
        <w:spacing w:line="440" w:lineRule="exact"/>
        <w:jc w:val="left"/>
        <w:rPr>
          <w:rFonts w:ascii="宋体" w:hAnsi="宋体"/>
          <w:b/>
          <w:bCs/>
          <w:color w:val="000000"/>
          <w:sz w:val="24"/>
        </w:rPr>
      </w:pPr>
    </w:p>
    <w:p>
      <w:pPr>
        <w:spacing w:line="440" w:lineRule="exact"/>
        <w:jc w:val="left"/>
        <w:rPr>
          <w:rFonts w:ascii="宋体" w:hAnsi="宋体"/>
          <w:b/>
          <w:bCs/>
          <w:sz w:val="28"/>
          <w:szCs w:val="28"/>
        </w:rPr>
      </w:pPr>
    </w:p>
    <w:p>
      <w:pPr>
        <w:spacing w:line="440" w:lineRule="exact"/>
        <w:jc w:val="left"/>
        <w:rPr>
          <w:rFonts w:ascii="宋体" w:hAnsi="宋体"/>
          <w:b/>
          <w:bCs/>
          <w:sz w:val="28"/>
          <w:szCs w:val="28"/>
        </w:rPr>
      </w:pPr>
    </w:p>
    <w:p>
      <w:r>
        <w:br w:type="page"/>
      </w:r>
    </w:p>
    <w:tbl>
      <w:tblPr>
        <w:tblStyle w:val="4"/>
        <w:tblpPr w:leftFromText="180" w:rightFromText="180" w:vertAnchor="text" w:horzAnchor="page" w:tblpX="957" w:tblpY="380"/>
        <w:tblOverlap w:val="never"/>
        <w:tblW w:w="10562" w:type="dxa"/>
        <w:tblInd w:w="0" w:type="dxa"/>
        <w:tblLayout w:type="fixed"/>
        <w:tblCellMar>
          <w:top w:w="15" w:type="dxa"/>
          <w:left w:w="15" w:type="dxa"/>
          <w:bottom w:w="15" w:type="dxa"/>
          <w:right w:w="15" w:type="dxa"/>
        </w:tblCellMar>
      </w:tblPr>
      <w:tblGrid>
        <w:gridCol w:w="617"/>
        <w:gridCol w:w="1101"/>
        <w:gridCol w:w="858"/>
        <w:gridCol w:w="7078"/>
        <w:gridCol w:w="908"/>
      </w:tblGrid>
      <w:tr>
        <w:tblPrEx>
          <w:tblLayout w:type="fixed"/>
          <w:tblCellMar>
            <w:top w:w="15" w:type="dxa"/>
            <w:left w:w="15" w:type="dxa"/>
            <w:bottom w:w="15" w:type="dxa"/>
            <w:right w:w="15" w:type="dxa"/>
          </w:tblCellMar>
        </w:tblPrEx>
        <w:trPr>
          <w:trHeight w:val="540" w:hRule="atLeast"/>
          <w:tblHead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评分因素</w:t>
            </w: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分值</w:t>
            </w:r>
          </w:p>
        </w:tc>
        <w:tc>
          <w:tcPr>
            <w:tcW w:w="7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评分标准</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sz w:val="22"/>
                <w:szCs w:val="22"/>
              </w:rPr>
            </w:pPr>
            <w:r>
              <w:rPr>
                <w:rFonts w:hint="eastAsia" w:ascii="宋体" w:hAnsi="宋体" w:cs="宋体"/>
                <w:b/>
                <w:color w:val="000000"/>
                <w:sz w:val="22"/>
                <w:szCs w:val="22"/>
              </w:rPr>
              <w:t>得分</w:t>
            </w:r>
          </w:p>
        </w:tc>
      </w:tr>
      <w:tr>
        <w:tblPrEx>
          <w:tblLayout w:type="fixed"/>
          <w:tblCellMar>
            <w:top w:w="15" w:type="dxa"/>
            <w:left w:w="15" w:type="dxa"/>
            <w:bottom w:w="15" w:type="dxa"/>
            <w:right w:w="15" w:type="dxa"/>
          </w:tblCellMar>
        </w:tblPrEx>
        <w:trPr>
          <w:trHeight w:val="286" w:hRule="atLeast"/>
          <w:tblHeader/>
        </w:trPr>
        <w:tc>
          <w:tcPr>
            <w:tcW w:w="10562"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Cs w:val="21"/>
              </w:rPr>
              <w:t>（2）技术部分   总分值：</w:t>
            </w:r>
            <w:r>
              <w:rPr>
                <w:rFonts w:hint="eastAsia" w:ascii="宋体" w:hAnsi="宋体" w:cs="宋体"/>
                <w:b/>
                <w:color w:val="000000"/>
                <w:kern w:val="0"/>
                <w:szCs w:val="21"/>
                <w:lang w:val="en-US" w:eastAsia="zh-CN"/>
              </w:rPr>
              <w:t>83</w:t>
            </w:r>
            <w:r>
              <w:rPr>
                <w:rFonts w:hint="eastAsia" w:ascii="宋体" w:hAnsi="宋体" w:cs="宋体"/>
                <w:b/>
                <w:color w:val="000000"/>
                <w:kern w:val="0"/>
                <w:szCs w:val="21"/>
              </w:rPr>
              <w:t>分</w:t>
            </w:r>
          </w:p>
        </w:tc>
      </w:tr>
      <w:tr>
        <w:tblPrEx>
          <w:tblLayout w:type="fixed"/>
          <w:tblCellMar>
            <w:top w:w="15" w:type="dxa"/>
            <w:left w:w="15" w:type="dxa"/>
            <w:bottom w:w="15" w:type="dxa"/>
            <w:right w:w="15" w:type="dxa"/>
          </w:tblCellMar>
        </w:tblPrEx>
        <w:trPr>
          <w:trHeight w:val="1242" w:hRule="atLeast"/>
          <w:tblHeader/>
        </w:trPr>
        <w:tc>
          <w:tcPr>
            <w:tcW w:w="617" w:type="dxa"/>
            <w:vMerge w:val="restart"/>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rPr>
              <w:t>技</w:t>
            </w:r>
          </w:p>
          <w:p>
            <w:pPr>
              <w:widowControl/>
              <w:spacing w:line="320" w:lineRule="exact"/>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rPr>
              <w:t>术</w:t>
            </w:r>
          </w:p>
          <w:p>
            <w:pPr>
              <w:widowControl/>
              <w:spacing w:line="320" w:lineRule="exact"/>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rPr>
              <w:t>部</w:t>
            </w:r>
          </w:p>
          <w:p>
            <w:pPr>
              <w:widowControl/>
              <w:spacing w:line="320" w:lineRule="exact"/>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rPr>
              <w:t>分</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lang w:eastAsia="zh-CN"/>
              </w:rPr>
              <w:t>数据库</w:t>
            </w:r>
            <w:r>
              <w:rPr>
                <w:rFonts w:hint="eastAsia" w:ascii="宋体" w:hAnsi="宋体" w:cs="宋体"/>
                <w:b/>
                <w:color w:val="000000"/>
                <w:kern w:val="0"/>
                <w:sz w:val="22"/>
                <w:szCs w:val="22"/>
              </w:rPr>
              <w:t>满足个性化技术要求</w:t>
            </w: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4"/>
              </w:rPr>
            </w:pPr>
            <w:r>
              <w:rPr>
                <w:rFonts w:hint="eastAsia" w:ascii="宋体" w:hAnsi="宋体" w:cs="宋体"/>
                <w:color w:val="000000"/>
                <w:kern w:val="0"/>
                <w:sz w:val="24"/>
              </w:rPr>
              <w:t>1分</w:t>
            </w:r>
          </w:p>
        </w:tc>
        <w:tc>
          <w:tcPr>
            <w:tcW w:w="70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 w:hAnsi="仿宋" w:eastAsia="仿宋" w:cs="宋体"/>
                <w:color w:val="C00000"/>
                <w:sz w:val="24"/>
              </w:rPr>
            </w:pPr>
            <w:r>
              <w:rPr>
                <w:rFonts w:hint="eastAsia" w:ascii="仿宋" w:hAnsi="仿宋" w:eastAsia="仿宋" w:cs="宋体"/>
                <w:sz w:val="24"/>
              </w:rPr>
              <w:t>该项满分1分,使用sql或mysql数据库为1分，没有满足个性化技术要求的不计分。</w:t>
            </w:r>
          </w:p>
        </w:tc>
        <w:tc>
          <w:tcPr>
            <w:tcW w:w="9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1242" w:hRule="atLeast"/>
          <w:tblHeader/>
        </w:trPr>
        <w:tc>
          <w:tcPr>
            <w:tcW w:w="617"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sz w:val="24"/>
              </w:rPr>
            </w:pPr>
            <w:r>
              <w:rPr>
                <w:rFonts w:hint="eastAsia" w:ascii="宋体" w:hAnsi="宋体" w:cs="宋体"/>
                <w:b/>
                <w:color w:val="000000"/>
                <w:kern w:val="0"/>
                <w:sz w:val="22"/>
                <w:szCs w:val="22"/>
              </w:rPr>
              <w:t>实施方案</w:t>
            </w:r>
          </w:p>
        </w:tc>
        <w:tc>
          <w:tcPr>
            <w:tcW w:w="858" w:type="dxa"/>
            <w:tcBorders>
              <w:top w:val="single" w:color="000000" w:sz="4" w:space="0"/>
              <w:left w:val="single" w:color="000000" w:sz="4" w:space="0"/>
              <w:bottom w:val="single" w:color="000000" w:sz="4" w:space="0"/>
              <w:right w:val="single" w:color="000000" w:sz="4" w:space="0"/>
            </w:tcBorders>
            <w:vAlign w:val="center"/>
          </w:tcPr>
          <w:p>
            <w:pPr>
              <w:snapToGrid w:val="0"/>
              <w:spacing w:line="420" w:lineRule="exact"/>
              <w:jc w:val="center"/>
              <w:rPr>
                <w:rFonts w:ascii="宋体" w:hAnsi="宋体"/>
                <w:sz w:val="24"/>
              </w:rPr>
            </w:pPr>
            <w:r>
              <w:rPr>
                <w:rFonts w:hint="eastAsia" w:ascii="宋体" w:hAnsi="宋体"/>
                <w:sz w:val="24"/>
              </w:rPr>
              <w:t>12分</w:t>
            </w:r>
          </w:p>
        </w:tc>
        <w:tc>
          <w:tcPr>
            <w:tcW w:w="7078" w:type="dxa"/>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投标方案能完全响应用户的需求并且按照住建厅下发通知要求的技术标准开发（《省住房和城乡建设厅关于转发《全国建筑市场公共服务平台工程信息数据标准》做好市级平台建设升级工作的通知》）；整个方案科学合理、具有前瞻性，在满足现有需求的同时又能考虑一定的扩展性；应针对本项目特点，提出合理的解决方案；应充分考虑应用软件易于操作和管理。</w:t>
            </w:r>
          </w:p>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完全按照标准全面理解项目背景、需求与定位。整个方案科学合理、具有前瞻性，能够充分满足现有需求的同时又能考虑一定的扩展性。对用户提出所有的要求都进行了明确的响应，内容充实丰富、实用。8（含）-12分</w:t>
            </w:r>
          </w:p>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基本按照标准理解项目背景、需求与定位。整个方案基本科学合理，应用系统技术架构满足用户要求。并对所有要求都进行了响应，内容不够充实丰富。4（含）-8（不含）</w:t>
            </w:r>
          </w:p>
          <w:p>
            <w:pPr>
              <w:widowControl/>
              <w:spacing w:line="320" w:lineRule="exact"/>
              <w:jc w:val="left"/>
              <w:textAlignment w:val="center"/>
              <w:rPr>
                <w:rFonts w:ascii="宋体" w:hAnsi="宋体"/>
                <w:sz w:val="24"/>
              </w:rPr>
            </w:pPr>
            <w:r>
              <w:rPr>
                <w:rFonts w:hint="eastAsia" w:ascii="仿宋" w:hAnsi="仿宋" w:eastAsia="仿宋" w:cs="宋体"/>
                <w:color w:val="000000"/>
                <w:sz w:val="24"/>
              </w:rPr>
              <w:t>未按照标准理解片面，甚至不理解项目背景、需求与定位；建设方案不实用或可行性不强。0-4（不含）</w:t>
            </w:r>
          </w:p>
        </w:tc>
        <w:tc>
          <w:tcPr>
            <w:tcW w:w="9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38" w:hRule="atLeast"/>
          <w:tblHeader/>
        </w:trPr>
        <w:tc>
          <w:tcPr>
            <w:tcW w:w="617"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p>
        </w:tc>
        <w:tc>
          <w:tcPr>
            <w:tcW w:w="1101"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rPr>
              <w:t>服务方案及售后服务能力</w:t>
            </w:r>
          </w:p>
        </w:tc>
        <w:tc>
          <w:tcPr>
            <w:tcW w:w="858" w:type="dxa"/>
            <w:vMerge w:val="restart"/>
            <w:tcBorders>
              <w:top w:val="single" w:color="000000" w:sz="4" w:space="0"/>
              <w:left w:val="single" w:color="000000" w:sz="4" w:space="0"/>
              <w:right w:val="single" w:color="000000" w:sz="4" w:space="0"/>
            </w:tcBorders>
            <w:vAlign w:val="center"/>
          </w:tcPr>
          <w:p>
            <w:pPr>
              <w:pStyle w:val="11"/>
              <w:ind w:firstLine="120" w:firstLineChars="50"/>
              <w:rPr>
                <w:rFonts w:eastAsia="宋体"/>
                <w:color w:val="000000"/>
              </w:rPr>
            </w:pPr>
            <w:r>
              <w:rPr>
                <w:rFonts w:hint="eastAsia" w:eastAsia="宋体"/>
                <w:color w:val="000000"/>
              </w:rPr>
              <w:t>18分</w:t>
            </w:r>
          </w:p>
        </w:tc>
        <w:tc>
          <w:tcPr>
            <w:tcW w:w="70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1、有措施且提供对本项目服务及针对性较强的培训措施，得0-2分；</w:t>
            </w:r>
          </w:p>
        </w:tc>
        <w:tc>
          <w:tcPr>
            <w:tcW w:w="9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89" w:hRule="atLeast"/>
          <w:tblHeader/>
        </w:trPr>
        <w:tc>
          <w:tcPr>
            <w:tcW w:w="617"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p>
        </w:tc>
        <w:tc>
          <w:tcPr>
            <w:tcW w:w="1101"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p>
        </w:tc>
        <w:tc>
          <w:tcPr>
            <w:tcW w:w="858" w:type="dxa"/>
            <w:vMerge w:val="continue"/>
            <w:tcBorders>
              <w:left w:val="single" w:color="000000" w:sz="4" w:space="0"/>
              <w:right w:val="single" w:color="000000" w:sz="4" w:space="0"/>
            </w:tcBorders>
            <w:vAlign w:val="center"/>
          </w:tcPr>
          <w:p>
            <w:pPr>
              <w:pStyle w:val="11"/>
              <w:ind w:firstLine="120" w:firstLineChars="50"/>
              <w:jc w:val="center"/>
              <w:rPr>
                <w:rFonts w:eastAsia="宋体"/>
                <w:color w:val="000000"/>
              </w:rPr>
            </w:pPr>
          </w:p>
        </w:tc>
        <w:tc>
          <w:tcPr>
            <w:tcW w:w="70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2、系统设计开发及运行方案完整详细，计划合理，得0-2分</w:t>
            </w:r>
          </w:p>
        </w:tc>
        <w:tc>
          <w:tcPr>
            <w:tcW w:w="9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663" w:hRule="atLeast"/>
          <w:tblHeader/>
        </w:trPr>
        <w:tc>
          <w:tcPr>
            <w:tcW w:w="617"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p>
        </w:tc>
        <w:tc>
          <w:tcPr>
            <w:tcW w:w="1101"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p>
        </w:tc>
        <w:tc>
          <w:tcPr>
            <w:tcW w:w="858" w:type="dxa"/>
            <w:vMerge w:val="continue"/>
            <w:tcBorders>
              <w:left w:val="single" w:color="000000" w:sz="4" w:space="0"/>
              <w:right w:val="single" w:color="000000" w:sz="4" w:space="0"/>
            </w:tcBorders>
            <w:vAlign w:val="center"/>
          </w:tcPr>
          <w:p>
            <w:pPr>
              <w:pStyle w:val="11"/>
              <w:ind w:firstLine="120" w:firstLineChars="50"/>
              <w:jc w:val="center"/>
              <w:rPr>
                <w:rFonts w:eastAsia="宋体"/>
                <w:color w:val="000000"/>
              </w:rPr>
            </w:pPr>
          </w:p>
        </w:tc>
        <w:tc>
          <w:tcPr>
            <w:tcW w:w="70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3、针对本项目安全文明施工措施和预案可行、制度健全、环境保护措施齐全、合理情况，得0-2分</w:t>
            </w:r>
          </w:p>
        </w:tc>
        <w:tc>
          <w:tcPr>
            <w:tcW w:w="9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532" w:hRule="atLeast"/>
          <w:tblHeader/>
        </w:trPr>
        <w:tc>
          <w:tcPr>
            <w:tcW w:w="617"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p>
        </w:tc>
        <w:tc>
          <w:tcPr>
            <w:tcW w:w="1101"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p>
        </w:tc>
        <w:tc>
          <w:tcPr>
            <w:tcW w:w="858" w:type="dxa"/>
            <w:vMerge w:val="continue"/>
            <w:tcBorders>
              <w:left w:val="single" w:color="000000" w:sz="4" w:space="0"/>
              <w:right w:val="single" w:color="000000" w:sz="4" w:space="0"/>
            </w:tcBorders>
            <w:vAlign w:val="center"/>
          </w:tcPr>
          <w:p>
            <w:pPr>
              <w:pStyle w:val="11"/>
              <w:ind w:firstLine="120" w:firstLineChars="50"/>
              <w:jc w:val="center"/>
              <w:rPr>
                <w:rFonts w:eastAsia="宋体"/>
                <w:color w:val="000000"/>
              </w:rPr>
            </w:pPr>
          </w:p>
        </w:tc>
        <w:tc>
          <w:tcPr>
            <w:tcW w:w="70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4、本项目服务方案中针对本项目的评估的难点、要点阐述是否明确且恰当等，得0-2分</w:t>
            </w:r>
          </w:p>
        </w:tc>
        <w:tc>
          <w:tcPr>
            <w:tcW w:w="9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556" w:hRule="atLeast"/>
          <w:tblHeader/>
        </w:trPr>
        <w:tc>
          <w:tcPr>
            <w:tcW w:w="617"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p>
        </w:tc>
        <w:tc>
          <w:tcPr>
            <w:tcW w:w="1101"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p>
        </w:tc>
        <w:tc>
          <w:tcPr>
            <w:tcW w:w="858" w:type="dxa"/>
            <w:vMerge w:val="continue"/>
            <w:tcBorders>
              <w:left w:val="single" w:color="000000" w:sz="4" w:space="0"/>
              <w:right w:val="single" w:color="000000" w:sz="4" w:space="0"/>
            </w:tcBorders>
            <w:vAlign w:val="center"/>
          </w:tcPr>
          <w:p>
            <w:pPr>
              <w:pStyle w:val="11"/>
              <w:ind w:firstLine="120" w:firstLineChars="50"/>
              <w:jc w:val="center"/>
              <w:rPr>
                <w:rFonts w:eastAsia="宋体"/>
                <w:color w:val="000000"/>
              </w:rPr>
            </w:pPr>
          </w:p>
        </w:tc>
        <w:tc>
          <w:tcPr>
            <w:tcW w:w="70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5、根据投标人提供的针对突发事件处置预案种类齐全、措施考虑周全、应急保障措施可行性、合理性高等，得 0-2分。</w:t>
            </w:r>
          </w:p>
        </w:tc>
        <w:tc>
          <w:tcPr>
            <w:tcW w:w="9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38" w:hRule="atLeast"/>
          <w:tblHeader/>
        </w:trPr>
        <w:tc>
          <w:tcPr>
            <w:tcW w:w="617"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p>
        </w:tc>
        <w:tc>
          <w:tcPr>
            <w:tcW w:w="1101"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p>
        </w:tc>
        <w:tc>
          <w:tcPr>
            <w:tcW w:w="858" w:type="dxa"/>
            <w:vMerge w:val="continue"/>
            <w:tcBorders>
              <w:left w:val="single" w:color="000000" w:sz="4" w:space="0"/>
              <w:bottom w:val="single" w:color="000000" w:sz="4" w:space="0"/>
              <w:right w:val="single" w:color="000000" w:sz="4" w:space="0"/>
            </w:tcBorders>
            <w:vAlign w:val="center"/>
          </w:tcPr>
          <w:p>
            <w:pPr>
              <w:pStyle w:val="11"/>
              <w:ind w:firstLine="120" w:firstLineChars="50"/>
              <w:jc w:val="center"/>
              <w:rPr>
                <w:rFonts w:eastAsia="宋体"/>
                <w:color w:val="000000"/>
              </w:rPr>
            </w:pPr>
          </w:p>
        </w:tc>
        <w:tc>
          <w:tcPr>
            <w:tcW w:w="70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6、对项目长期进行运行维护的措施方案，得0-2分。</w:t>
            </w:r>
          </w:p>
        </w:tc>
        <w:tc>
          <w:tcPr>
            <w:tcW w:w="9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38" w:hRule="atLeast"/>
          <w:tblHeader/>
        </w:trPr>
        <w:tc>
          <w:tcPr>
            <w:tcW w:w="617"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p>
        </w:tc>
        <w:tc>
          <w:tcPr>
            <w:tcW w:w="1101"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p>
        </w:tc>
        <w:tc>
          <w:tcPr>
            <w:tcW w:w="858" w:type="dxa"/>
            <w:vMerge w:val="continue"/>
            <w:tcBorders>
              <w:left w:val="single" w:color="000000" w:sz="4" w:space="0"/>
              <w:bottom w:val="single" w:color="000000" w:sz="4" w:space="0"/>
              <w:right w:val="single" w:color="000000" w:sz="4" w:space="0"/>
            </w:tcBorders>
            <w:vAlign w:val="center"/>
          </w:tcPr>
          <w:p>
            <w:pPr>
              <w:pStyle w:val="11"/>
              <w:ind w:firstLine="120" w:firstLineChars="50"/>
              <w:jc w:val="center"/>
              <w:rPr>
                <w:rFonts w:eastAsia="宋体"/>
                <w:color w:val="000000"/>
              </w:rPr>
            </w:pPr>
          </w:p>
        </w:tc>
        <w:tc>
          <w:tcPr>
            <w:tcW w:w="70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7、投标人需提交售后承诺书（加盖公章），承诺平台交付后1年内免费按需开发，免费升级维护；同时投标人承诺中标后在省内设立专业售后服务机构,以上同时满足记6分，一项没有的记0分。</w:t>
            </w:r>
          </w:p>
        </w:tc>
        <w:tc>
          <w:tcPr>
            <w:tcW w:w="9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1332" w:hRule="atLeast"/>
          <w:tblHeader/>
        </w:trPr>
        <w:tc>
          <w:tcPr>
            <w:tcW w:w="617" w:type="dxa"/>
            <w:vMerge w:val="continue"/>
            <w:tcBorders>
              <w:left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cs="宋体"/>
                <w:b/>
                <w:color w:val="000000"/>
                <w:kern w:val="0"/>
                <w:sz w:val="22"/>
                <w:szCs w:val="22"/>
              </w:rPr>
            </w:pPr>
            <w:r>
              <w:rPr>
                <w:rFonts w:hint="eastAsia" w:ascii="宋体" w:hAnsi="宋体" w:cs="宋体"/>
                <w:b/>
                <w:color w:val="000000"/>
                <w:kern w:val="0"/>
                <w:sz w:val="22"/>
                <w:szCs w:val="22"/>
              </w:rPr>
              <w:t>满足住建部要求程度</w:t>
            </w: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10</w:t>
            </w:r>
            <w:r>
              <w:rPr>
                <w:rFonts w:hint="eastAsia" w:ascii="宋体" w:hAnsi="宋体" w:cs="宋体"/>
                <w:color w:val="000000"/>
                <w:kern w:val="0"/>
                <w:sz w:val="24"/>
              </w:rPr>
              <w:t>分</w:t>
            </w:r>
          </w:p>
        </w:tc>
        <w:tc>
          <w:tcPr>
            <w:tcW w:w="70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该项满分</w:t>
            </w:r>
            <w:r>
              <w:rPr>
                <w:rFonts w:hint="eastAsia" w:ascii="仿宋" w:hAnsi="仿宋" w:eastAsia="仿宋" w:cs="宋体"/>
                <w:color w:val="000000"/>
                <w:sz w:val="24"/>
                <w:lang w:val="en-US" w:eastAsia="zh-CN"/>
              </w:rPr>
              <w:t>10</w:t>
            </w:r>
            <w:r>
              <w:rPr>
                <w:rFonts w:hint="eastAsia" w:ascii="仿宋" w:hAnsi="仿宋" w:eastAsia="仿宋" w:cs="宋体"/>
                <w:color w:val="000000"/>
                <w:sz w:val="24"/>
              </w:rPr>
              <w:t>分，能证明平台已符合全国实名制管理平台要求的得</w:t>
            </w:r>
            <w:r>
              <w:rPr>
                <w:rFonts w:hint="eastAsia" w:ascii="仿宋" w:hAnsi="仿宋" w:eastAsia="仿宋" w:cs="宋体"/>
                <w:color w:val="000000"/>
                <w:sz w:val="24"/>
                <w:lang w:val="en-US" w:eastAsia="zh-CN"/>
              </w:rPr>
              <w:t>10</w:t>
            </w:r>
            <w:r>
              <w:rPr>
                <w:rFonts w:hint="eastAsia" w:ascii="仿宋" w:hAnsi="仿宋" w:eastAsia="仿宋" w:cs="宋体"/>
                <w:color w:val="000000"/>
                <w:sz w:val="24"/>
              </w:rPr>
              <w:t>分，不能证明的不得分</w:t>
            </w:r>
            <w:r>
              <w:rPr>
                <w:rFonts w:hint="eastAsia" w:ascii="仿宋" w:hAnsi="仿宋" w:eastAsia="仿宋" w:cs="宋体"/>
                <w:color w:val="000000"/>
                <w:sz w:val="24"/>
                <w:lang w:eastAsia="zh-CN"/>
              </w:rPr>
              <w:t>（在</w:t>
            </w:r>
            <w:r>
              <w:rPr>
                <w:rFonts w:hint="eastAsia" w:ascii="仿宋" w:hAnsi="仿宋" w:eastAsia="仿宋" w:cs="宋体"/>
                <w:color w:val="000000"/>
                <w:sz w:val="24"/>
              </w:rPr>
              <w:t>住</w:t>
            </w:r>
            <w:r>
              <w:rPr>
                <w:rFonts w:hint="eastAsia" w:ascii="仿宋" w:hAnsi="仿宋" w:eastAsia="仿宋" w:cs="宋体"/>
                <w:color w:val="000000"/>
                <w:sz w:val="24"/>
              </w:rPr>
              <w:fldChar w:fldCharType="begin"/>
            </w:r>
            <w:r>
              <w:rPr>
                <w:rFonts w:hint="eastAsia" w:ascii="仿宋" w:hAnsi="仿宋" w:eastAsia="仿宋" w:cs="宋体"/>
                <w:color w:val="000000"/>
                <w:sz w:val="24"/>
              </w:rPr>
              <w:instrText xml:space="preserve"> HYPERLINK "http://www.mohurd.gov.cn/" \o "住房和城乡建设部网站" \t "http://jzgr.mohurd.gov.cn/_blank" </w:instrText>
            </w:r>
            <w:r>
              <w:rPr>
                <w:rFonts w:hint="eastAsia" w:ascii="仿宋" w:hAnsi="仿宋" w:eastAsia="仿宋" w:cs="宋体"/>
                <w:color w:val="000000"/>
                <w:sz w:val="24"/>
              </w:rPr>
              <w:fldChar w:fldCharType="separate"/>
            </w:r>
            <w:r>
              <w:rPr>
                <w:rFonts w:hint="eastAsia" w:ascii="仿宋" w:hAnsi="仿宋" w:eastAsia="仿宋" w:cs="宋体"/>
                <w:color w:val="000000"/>
                <w:sz w:val="24"/>
              </w:rPr>
              <w:t>房和城乡建设部网站</w:t>
            </w:r>
            <w:r>
              <w:rPr>
                <w:rFonts w:hint="eastAsia" w:ascii="仿宋" w:hAnsi="仿宋" w:eastAsia="仿宋" w:cs="宋体"/>
                <w:color w:val="000000"/>
                <w:sz w:val="24"/>
              </w:rPr>
              <w:fldChar w:fldCharType="end"/>
            </w:r>
            <w:r>
              <w:rPr>
                <w:rFonts w:hint="eastAsia" w:ascii="仿宋" w:hAnsi="仿宋" w:eastAsia="仿宋" w:cs="宋体"/>
                <w:color w:val="000000"/>
                <w:sz w:val="24"/>
                <w:lang w:eastAsia="zh-CN"/>
              </w:rPr>
              <w:t>查询，网站地址jzgr.mohurd.gov.cn）</w:t>
            </w:r>
            <w:r>
              <w:rPr>
                <w:rFonts w:hint="eastAsia" w:ascii="仿宋" w:hAnsi="仿宋" w:eastAsia="仿宋" w:cs="宋体"/>
                <w:color w:val="000000"/>
                <w:sz w:val="24"/>
              </w:rPr>
              <w:t>。</w:t>
            </w:r>
            <w:bookmarkStart w:id="0" w:name="_GoBack"/>
            <w:bookmarkEnd w:id="0"/>
          </w:p>
        </w:tc>
        <w:tc>
          <w:tcPr>
            <w:tcW w:w="90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24"/>
              </w:rPr>
            </w:pPr>
          </w:p>
        </w:tc>
      </w:tr>
      <w:tr>
        <w:tblPrEx>
          <w:tblLayout w:type="fixed"/>
          <w:tblCellMar>
            <w:top w:w="15" w:type="dxa"/>
            <w:left w:w="15" w:type="dxa"/>
            <w:bottom w:w="15" w:type="dxa"/>
            <w:right w:w="15" w:type="dxa"/>
          </w:tblCellMar>
        </w:tblPrEx>
        <w:trPr>
          <w:trHeight w:val="817" w:hRule="atLeast"/>
          <w:tblHeader/>
        </w:trPr>
        <w:tc>
          <w:tcPr>
            <w:tcW w:w="617"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rPr>
              <w:t>平台系统著作权证</w:t>
            </w:r>
          </w:p>
        </w:tc>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仿宋_GB2312"/>
                <w:bCs/>
                <w:sz w:val="24"/>
              </w:rPr>
            </w:pPr>
            <w:r>
              <w:rPr>
                <w:rFonts w:hint="eastAsia" w:ascii="宋体" w:hAnsi="宋体" w:cs="宋体"/>
                <w:kern w:val="0"/>
              </w:rPr>
              <w:t>2分</w:t>
            </w:r>
          </w:p>
        </w:tc>
        <w:tc>
          <w:tcPr>
            <w:tcW w:w="70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系统软件为投标人自主研发，主要系统需要有软件著作权。投标文件内附认证证书和证明材料复印件，原件备查</w:t>
            </w:r>
            <w:r>
              <w:rPr>
                <w:rFonts w:hint="eastAsia" w:ascii="仿宋" w:hAnsi="仿宋" w:eastAsia="仿宋" w:cs="宋体"/>
                <w:color w:val="000000"/>
                <w:sz w:val="24"/>
                <w:lang w:val="en-US" w:eastAsia="zh-CN"/>
              </w:rPr>
              <w:t>,无原件不计分</w:t>
            </w:r>
            <w:r>
              <w:rPr>
                <w:rFonts w:hint="eastAsia" w:ascii="仿宋" w:hAnsi="仿宋" w:eastAsia="仿宋" w:cs="宋体"/>
                <w:color w:val="000000"/>
                <w:sz w:val="24"/>
              </w:rPr>
              <w:t>。</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 w:hAnsi="仿宋" w:eastAsia="仿宋" w:cs="宋体"/>
                <w:color w:val="000000"/>
                <w:sz w:val="24"/>
              </w:rPr>
            </w:pPr>
          </w:p>
        </w:tc>
      </w:tr>
      <w:tr>
        <w:tblPrEx>
          <w:tblLayout w:type="fixed"/>
          <w:tblCellMar>
            <w:top w:w="15" w:type="dxa"/>
            <w:left w:w="15" w:type="dxa"/>
            <w:bottom w:w="15" w:type="dxa"/>
            <w:right w:w="15" w:type="dxa"/>
          </w:tblCellMar>
        </w:tblPrEx>
        <w:trPr>
          <w:trHeight w:val="5236" w:hRule="atLeast"/>
          <w:tblHeader/>
        </w:trPr>
        <w:tc>
          <w:tcPr>
            <w:tcW w:w="617" w:type="dxa"/>
            <w:vMerge w:val="continue"/>
            <w:tcBorders>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rPr>
              <w:t>现场关键功能演示</w:t>
            </w: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210" w:firstLineChars="100"/>
              <w:jc w:val="left"/>
              <w:textAlignment w:val="center"/>
              <w:rPr>
                <w:rFonts w:ascii="宋体" w:hAnsi="宋体" w:cs="宋体"/>
                <w:color w:val="000000"/>
                <w:sz w:val="24"/>
              </w:rPr>
            </w:pPr>
            <w:r>
              <w:rPr>
                <w:rFonts w:hint="eastAsia" w:ascii="宋体" w:hAnsi="宋体" w:cs="宋体"/>
                <w:kern w:val="0"/>
              </w:rPr>
              <w:t>40</w:t>
            </w:r>
            <w:r>
              <w:rPr>
                <w:rFonts w:hint="eastAsia" w:ascii="宋体" w:hAnsi="宋体" w:cs="宋体"/>
                <w:color w:val="000000"/>
                <w:sz w:val="24"/>
              </w:rPr>
              <w:t>分</w:t>
            </w:r>
          </w:p>
          <w:p>
            <w:pPr>
              <w:widowControl/>
              <w:spacing w:line="320" w:lineRule="exact"/>
              <w:ind w:firstLine="240" w:firstLineChars="100"/>
              <w:jc w:val="left"/>
              <w:textAlignment w:val="center"/>
              <w:rPr>
                <w:rFonts w:ascii="宋体" w:hAnsi="宋体" w:cs="宋体"/>
                <w:color w:val="000000"/>
                <w:sz w:val="24"/>
              </w:rPr>
            </w:pPr>
          </w:p>
        </w:tc>
        <w:tc>
          <w:tcPr>
            <w:tcW w:w="70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80" w:firstLineChars="200"/>
              <w:jc w:val="left"/>
              <w:textAlignment w:val="center"/>
              <w:rPr>
                <w:rFonts w:ascii="仿宋" w:hAnsi="仿宋" w:eastAsia="仿宋" w:cs="宋体"/>
                <w:color w:val="000000"/>
                <w:sz w:val="24"/>
              </w:rPr>
            </w:pPr>
            <w:r>
              <w:rPr>
                <w:rFonts w:hint="eastAsia" w:ascii="仿宋" w:hAnsi="仿宋" w:eastAsia="仿宋" w:cs="宋体"/>
                <w:color w:val="000000"/>
                <w:sz w:val="24"/>
              </w:rPr>
              <w:t>评标委员会根据各投标人现场演示客户案例系统，以及演示内容与采购需求的匹配程度和业务逻辑完整性从以下几点综合比较评分。满分40分，每不满足一处，则扣除3分，扣完为止。</w:t>
            </w:r>
          </w:p>
          <w:p>
            <w:pPr>
              <w:widowControl/>
              <w:spacing w:line="320" w:lineRule="exact"/>
              <w:ind w:firstLine="480" w:firstLineChars="200"/>
              <w:jc w:val="left"/>
              <w:textAlignment w:val="center"/>
              <w:rPr>
                <w:rFonts w:ascii="仿宋" w:hAnsi="仿宋" w:eastAsia="仿宋" w:cs="宋体"/>
                <w:color w:val="000000"/>
                <w:sz w:val="24"/>
              </w:rPr>
            </w:pPr>
            <w:r>
              <w:rPr>
                <w:rFonts w:hint="eastAsia" w:ascii="仿宋" w:hAnsi="仿宋" w:eastAsia="仿宋" w:cs="宋体"/>
                <w:color w:val="000000"/>
                <w:sz w:val="24"/>
              </w:rPr>
              <w:t>演示时间不超过25分钟(系统演示必须是真实系统)，必须基于真实系统演示投标系统核心功能，并回答评委提问。</w:t>
            </w:r>
          </w:p>
          <w:p>
            <w:pPr>
              <w:pStyle w:val="9"/>
              <w:widowControl/>
              <w:numPr>
                <w:ilvl w:val="0"/>
                <w:numId w:val="2"/>
              </w:numPr>
              <w:spacing w:line="320" w:lineRule="exact"/>
              <w:ind w:firstLineChars="0"/>
              <w:jc w:val="left"/>
              <w:textAlignment w:val="center"/>
              <w:rPr>
                <w:rFonts w:ascii="仿宋" w:hAnsi="仿宋" w:eastAsia="仿宋" w:cs="宋体"/>
                <w:color w:val="000000"/>
                <w:sz w:val="24"/>
              </w:rPr>
            </w:pPr>
            <w:r>
              <w:rPr>
                <w:rFonts w:hint="eastAsia" w:ascii="仿宋" w:hAnsi="仿宋" w:eastAsia="仿宋" w:cs="宋体"/>
                <w:color w:val="000000"/>
                <w:sz w:val="24"/>
              </w:rPr>
              <w:t>为解决第三方插件与浏览器兼容问题，要求具备浏览器封装能力，封装后的浏览器版权需归属平台开发公司，并使用封装后的浏览器进行演示。</w:t>
            </w:r>
          </w:p>
          <w:p>
            <w:pPr>
              <w:pStyle w:val="9"/>
              <w:widowControl/>
              <w:numPr>
                <w:ilvl w:val="0"/>
                <w:numId w:val="2"/>
              </w:numPr>
              <w:spacing w:line="320" w:lineRule="exact"/>
              <w:ind w:firstLineChars="0"/>
              <w:jc w:val="left"/>
              <w:textAlignment w:val="center"/>
              <w:rPr>
                <w:rFonts w:ascii="仿宋" w:hAnsi="仿宋" w:eastAsia="仿宋" w:cs="宋体"/>
                <w:color w:val="000000"/>
                <w:sz w:val="24"/>
              </w:rPr>
            </w:pPr>
            <w:r>
              <w:rPr>
                <w:rFonts w:hint="eastAsia" w:ascii="仿宋" w:hAnsi="仿宋" w:eastAsia="仿宋" w:cs="宋体"/>
                <w:color w:val="000000"/>
                <w:sz w:val="24"/>
              </w:rPr>
              <w:t>演示PC桌面版登录，实现五个不同身份用户登录（政府部门监管端、企业用户端、项目用户端、个人用户端、银行管理端）并显示不同的操作；</w:t>
            </w:r>
          </w:p>
          <w:p>
            <w:pPr>
              <w:pStyle w:val="9"/>
              <w:widowControl/>
              <w:numPr>
                <w:ilvl w:val="0"/>
                <w:numId w:val="2"/>
              </w:numPr>
              <w:spacing w:line="320" w:lineRule="exact"/>
              <w:ind w:firstLineChars="0"/>
              <w:jc w:val="left"/>
              <w:textAlignment w:val="center"/>
              <w:rPr>
                <w:rFonts w:ascii="仿宋" w:hAnsi="仿宋" w:eastAsia="仿宋" w:cs="宋体"/>
                <w:color w:val="000000"/>
                <w:sz w:val="24"/>
              </w:rPr>
            </w:pPr>
            <w:r>
              <w:rPr>
                <w:rFonts w:hint="eastAsia" w:ascii="仿宋" w:hAnsi="仿宋" w:eastAsia="仿宋" w:cs="宋体"/>
                <w:color w:val="000000"/>
                <w:sz w:val="24"/>
              </w:rPr>
              <w:t>能完整演示建筑工人实名制信息认证登记,进退场管理，技能、合同、培训信息登记功能。</w:t>
            </w:r>
          </w:p>
          <w:p>
            <w:pPr>
              <w:pStyle w:val="9"/>
              <w:widowControl/>
              <w:numPr>
                <w:ilvl w:val="0"/>
                <w:numId w:val="2"/>
              </w:numPr>
              <w:spacing w:line="320" w:lineRule="exact"/>
              <w:ind w:firstLineChars="0"/>
              <w:jc w:val="left"/>
              <w:textAlignment w:val="center"/>
              <w:rPr>
                <w:rFonts w:ascii="仿宋" w:hAnsi="仿宋" w:eastAsia="仿宋" w:cs="宋体"/>
                <w:color w:val="000000"/>
                <w:sz w:val="24"/>
              </w:rPr>
            </w:pPr>
            <w:r>
              <w:rPr>
                <w:rFonts w:hint="eastAsia" w:ascii="仿宋" w:hAnsi="仿宋" w:eastAsia="仿宋" w:cs="宋体"/>
                <w:color w:val="000000"/>
                <w:sz w:val="24"/>
              </w:rPr>
              <w:t>能完整演示建筑工人的现场班组管理功能。</w:t>
            </w:r>
          </w:p>
          <w:p>
            <w:pPr>
              <w:pStyle w:val="9"/>
              <w:widowControl/>
              <w:numPr>
                <w:ilvl w:val="0"/>
                <w:numId w:val="2"/>
              </w:numPr>
              <w:spacing w:line="320" w:lineRule="exact"/>
              <w:ind w:firstLineChars="0"/>
              <w:jc w:val="left"/>
              <w:textAlignment w:val="center"/>
              <w:rPr>
                <w:rFonts w:ascii="仿宋" w:hAnsi="仿宋" w:eastAsia="仿宋" w:cs="宋体"/>
                <w:color w:val="000000"/>
                <w:sz w:val="24"/>
              </w:rPr>
            </w:pPr>
            <w:r>
              <w:rPr>
                <w:rFonts w:hint="eastAsia" w:ascii="仿宋" w:hAnsi="仿宋" w:eastAsia="仿宋" w:cs="宋体"/>
                <w:color w:val="000000"/>
                <w:sz w:val="24"/>
              </w:rPr>
              <w:t>能完整演示建筑工人工地现场的考勤功能，包括采集、整理和上传功能。</w:t>
            </w:r>
          </w:p>
          <w:p>
            <w:pPr>
              <w:pStyle w:val="9"/>
              <w:widowControl/>
              <w:numPr>
                <w:ilvl w:val="0"/>
                <w:numId w:val="2"/>
              </w:numPr>
              <w:spacing w:line="320" w:lineRule="exact"/>
              <w:ind w:firstLineChars="0"/>
              <w:jc w:val="left"/>
              <w:textAlignment w:val="center"/>
              <w:rPr>
                <w:rFonts w:ascii="仿宋" w:hAnsi="仿宋" w:eastAsia="仿宋" w:cs="宋体"/>
                <w:color w:val="000000"/>
                <w:sz w:val="24"/>
              </w:rPr>
            </w:pPr>
            <w:r>
              <w:rPr>
                <w:rFonts w:hint="eastAsia" w:ascii="仿宋" w:hAnsi="仿宋" w:eastAsia="仿宋" w:cs="宋体"/>
                <w:color w:val="000000"/>
                <w:sz w:val="24"/>
              </w:rPr>
              <w:t>能演示对考勤数据异常处理功能、工资发放管理功能。</w:t>
            </w:r>
          </w:p>
          <w:p>
            <w:pPr>
              <w:pStyle w:val="9"/>
              <w:widowControl/>
              <w:numPr>
                <w:ilvl w:val="0"/>
                <w:numId w:val="2"/>
              </w:numPr>
              <w:spacing w:line="320" w:lineRule="exact"/>
              <w:ind w:firstLineChars="0"/>
              <w:jc w:val="left"/>
              <w:textAlignment w:val="center"/>
              <w:rPr>
                <w:rFonts w:ascii="仿宋" w:hAnsi="仿宋" w:eastAsia="仿宋" w:cs="宋体"/>
                <w:color w:val="000000"/>
                <w:sz w:val="24"/>
              </w:rPr>
            </w:pPr>
            <w:r>
              <w:rPr>
                <w:rFonts w:hint="eastAsia" w:ascii="仿宋" w:hAnsi="仿宋" w:eastAsia="仿宋" w:cs="宋体"/>
                <w:color w:val="000000"/>
                <w:sz w:val="24"/>
              </w:rPr>
              <w:t>能演示考勤统计及工资报表功能。</w:t>
            </w:r>
          </w:p>
          <w:p>
            <w:pPr>
              <w:pStyle w:val="9"/>
              <w:widowControl/>
              <w:numPr>
                <w:ilvl w:val="0"/>
                <w:numId w:val="2"/>
              </w:numPr>
              <w:spacing w:line="320" w:lineRule="exact"/>
              <w:ind w:firstLineChars="0"/>
              <w:jc w:val="left"/>
              <w:textAlignment w:val="center"/>
              <w:rPr>
                <w:rFonts w:ascii="仿宋" w:hAnsi="仿宋" w:eastAsia="仿宋" w:cs="宋体"/>
                <w:color w:val="000000"/>
                <w:sz w:val="24"/>
              </w:rPr>
            </w:pPr>
            <w:r>
              <w:rPr>
                <w:rFonts w:hint="eastAsia" w:ascii="仿宋" w:hAnsi="仿宋" w:eastAsia="仿宋" w:cs="宋体"/>
                <w:color w:val="000000"/>
                <w:sz w:val="24"/>
              </w:rPr>
              <w:t>能演示提供工资发放功能。</w:t>
            </w:r>
          </w:p>
          <w:p>
            <w:pPr>
              <w:pStyle w:val="9"/>
              <w:widowControl/>
              <w:numPr>
                <w:ilvl w:val="0"/>
                <w:numId w:val="2"/>
              </w:numPr>
              <w:spacing w:line="320" w:lineRule="exact"/>
              <w:ind w:firstLineChars="0"/>
              <w:jc w:val="left"/>
              <w:textAlignment w:val="center"/>
              <w:rPr>
                <w:rFonts w:ascii="仿宋" w:hAnsi="仿宋" w:eastAsia="仿宋" w:cs="宋体"/>
                <w:color w:val="000000"/>
                <w:sz w:val="24"/>
              </w:rPr>
            </w:pPr>
            <w:r>
              <w:rPr>
                <w:rFonts w:hint="eastAsia" w:ascii="仿宋" w:hAnsi="仿宋" w:eastAsia="仿宋" w:cs="宋体"/>
                <w:color w:val="000000"/>
                <w:sz w:val="24"/>
              </w:rPr>
              <w:t>能演示对工程承包方及监管单位的欠薪预警、提醒功能。</w:t>
            </w:r>
          </w:p>
          <w:p>
            <w:pPr>
              <w:pStyle w:val="9"/>
              <w:widowControl/>
              <w:numPr>
                <w:ilvl w:val="0"/>
                <w:numId w:val="2"/>
              </w:numPr>
              <w:spacing w:line="320" w:lineRule="exact"/>
              <w:ind w:firstLineChars="0"/>
              <w:jc w:val="left"/>
              <w:textAlignment w:val="center"/>
              <w:rPr>
                <w:rFonts w:ascii="仿宋" w:hAnsi="仿宋" w:eastAsia="仿宋" w:cs="宋体"/>
                <w:color w:val="000000"/>
                <w:sz w:val="24"/>
              </w:rPr>
            </w:pPr>
            <w:r>
              <w:rPr>
                <w:rFonts w:hint="eastAsia" w:ascii="仿宋" w:hAnsi="仿宋" w:eastAsia="仿宋" w:cs="宋体"/>
                <w:color w:val="000000"/>
                <w:sz w:val="24"/>
              </w:rPr>
              <w:t>能完整演示黑名单管理功能</w:t>
            </w:r>
            <w:r>
              <w:rPr>
                <w:rFonts w:hint="eastAsia" w:ascii="仿宋" w:hAnsi="仿宋" w:eastAsia="仿宋" w:cs="宋体"/>
                <w:color w:val="000000"/>
                <w:sz w:val="24"/>
                <w:lang w:eastAsia="zh-CN"/>
              </w:rPr>
              <w:t>。</w:t>
            </w:r>
          </w:p>
          <w:p>
            <w:pPr>
              <w:pStyle w:val="9"/>
              <w:widowControl/>
              <w:numPr>
                <w:ilvl w:val="0"/>
                <w:numId w:val="2"/>
              </w:numPr>
              <w:spacing w:line="320" w:lineRule="exact"/>
              <w:ind w:firstLineChars="0"/>
              <w:jc w:val="left"/>
              <w:textAlignment w:val="center"/>
              <w:rPr>
                <w:rFonts w:ascii="仿宋" w:hAnsi="仿宋" w:eastAsia="仿宋" w:cs="宋体"/>
                <w:color w:val="000000"/>
                <w:sz w:val="24"/>
              </w:rPr>
            </w:pPr>
            <w:r>
              <w:rPr>
                <w:rFonts w:hint="eastAsia" w:ascii="仿宋" w:hAnsi="仿宋" w:eastAsia="仿宋" w:cs="宋体"/>
                <w:color w:val="000000"/>
                <w:sz w:val="24"/>
              </w:rPr>
              <w:t>能演示以数字地图方式呈现的“一张图”式大数据分析统计管理功能，包括工程分布、工程实名制度落实、及相关数据的统计情况</w:t>
            </w:r>
            <w:r>
              <w:rPr>
                <w:rFonts w:hint="eastAsia" w:ascii="仿宋" w:hAnsi="仿宋" w:eastAsia="仿宋" w:cs="宋体"/>
                <w:color w:val="000000"/>
                <w:sz w:val="24"/>
                <w:lang w:eastAsia="zh-CN"/>
              </w:rPr>
              <w:t>。</w:t>
            </w:r>
          </w:p>
          <w:p>
            <w:pPr>
              <w:pStyle w:val="9"/>
              <w:widowControl/>
              <w:numPr>
                <w:ilvl w:val="0"/>
                <w:numId w:val="2"/>
              </w:numPr>
              <w:spacing w:line="320" w:lineRule="exact"/>
              <w:ind w:firstLineChars="0"/>
              <w:jc w:val="left"/>
              <w:textAlignment w:val="center"/>
              <w:rPr>
                <w:rFonts w:hint="eastAsia" w:ascii="仿宋" w:hAnsi="仿宋" w:eastAsia="仿宋" w:cs="宋体"/>
                <w:color w:val="000000"/>
                <w:sz w:val="24"/>
              </w:rPr>
            </w:pPr>
            <w:r>
              <w:rPr>
                <w:rFonts w:hint="eastAsia" w:ascii="仿宋" w:hAnsi="仿宋" w:eastAsia="仿宋" w:cs="宋体"/>
                <w:color w:val="000000"/>
                <w:sz w:val="24"/>
              </w:rPr>
              <w:t>能演示移动智能APP或微信公众号或小程序动态监管功能。包括实名制采集、考勤数据查询功能、欠薪预警与报警信息提醒等功能。供应商可提供切合实际的个性化展示，不限于以上功能展示。</w:t>
            </w:r>
          </w:p>
          <w:p>
            <w:pPr>
              <w:pStyle w:val="9"/>
              <w:widowControl/>
              <w:numPr>
                <w:ilvl w:val="0"/>
                <w:numId w:val="2"/>
              </w:numPr>
              <w:spacing w:line="320" w:lineRule="exact"/>
              <w:ind w:firstLineChars="0"/>
              <w:jc w:val="left"/>
              <w:textAlignment w:val="center"/>
              <w:rPr>
                <w:rFonts w:hint="eastAsia" w:ascii="仿宋" w:hAnsi="仿宋" w:eastAsia="仿宋" w:cs="宋体"/>
                <w:color w:val="000000"/>
                <w:sz w:val="24"/>
              </w:rPr>
            </w:pPr>
            <w:r>
              <w:rPr>
                <w:rFonts w:hint="eastAsia" w:ascii="仿宋" w:hAnsi="仿宋" w:eastAsia="仿宋" w:cs="宋体"/>
                <w:color w:val="000000"/>
                <w:sz w:val="24"/>
              </w:rPr>
              <w:t>能实时演示出具体工地当时工地考勤人员及相关统计结果情况展示。</w:t>
            </w:r>
          </w:p>
          <w:p>
            <w:pPr>
              <w:pStyle w:val="9"/>
              <w:widowControl/>
              <w:numPr>
                <w:ilvl w:val="0"/>
                <w:numId w:val="2"/>
              </w:numPr>
              <w:spacing w:line="320" w:lineRule="exact"/>
              <w:ind w:firstLineChars="0"/>
              <w:jc w:val="left"/>
              <w:textAlignment w:val="center"/>
              <w:rPr>
                <w:rFonts w:hint="eastAsia" w:ascii="仿宋" w:hAnsi="仿宋" w:eastAsia="仿宋" w:cs="宋体"/>
                <w:color w:val="000000"/>
                <w:sz w:val="24"/>
              </w:rPr>
            </w:pPr>
            <w:r>
              <w:rPr>
                <w:rFonts w:hint="eastAsia" w:ascii="仿宋" w:hAnsi="仿宋" w:eastAsia="仿宋" w:cs="宋体"/>
                <w:color w:val="000000"/>
                <w:sz w:val="24"/>
              </w:rPr>
              <w:t>能演示与银行系统深度对接，通过发放平台跨行T+0快速工资发放到账的展示。</w:t>
            </w:r>
          </w:p>
          <w:p>
            <w:pPr>
              <w:pStyle w:val="9"/>
              <w:widowControl/>
              <w:numPr>
                <w:ilvl w:val="0"/>
                <w:numId w:val="2"/>
              </w:numPr>
              <w:spacing w:line="320" w:lineRule="exact"/>
              <w:ind w:firstLineChars="0"/>
              <w:jc w:val="left"/>
              <w:textAlignment w:val="center"/>
              <w:rPr>
                <w:rFonts w:hint="eastAsia" w:ascii="仿宋" w:hAnsi="仿宋" w:eastAsia="仿宋" w:cs="宋体"/>
                <w:color w:val="000000"/>
                <w:sz w:val="24"/>
              </w:rPr>
            </w:pPr>
            <w:r>
              <w:rPr>
                <w:rFonts w:hint="eastAsia" w:ascii="仿宋" w:hAnsi="仿宋" w:eastAsia="仿宋" w:cs="宋体"/>
                <w:color w:val="000000"/>
                <w:sz w:val="24"/>
              </w:rPr>
              <w:t>能演示出银行卡四要素验证（姓名、身份证号、电话、卡号）的展示</w:t>
            </w:r>
            <w:r>
              <w:rPr>
                <w:rFonts w:hint="eastAsia" w:ascii="仿宋" w:hAnsi="仿宋" w:eastAsia="仿宋" w:cs="宋体"/>
                <w:color w:val="000000"/>
                <w:sz w:val="24"/>
                <w:lang w:eastAsia="zh-CN"/>
              </w:rPr>
              <w:t>。</w:t>
            </w:r>
          </w:p>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注：演示所需电脑由供应商自行准备。</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 w:hAnsi="仿宋" w:eastAsia="仿宋" w:cs="宋体"/>
                <w:color w:val="000000"/>
                <w:sz w:val="24"/>
              </w:rPr>
            </w:pPr>
          </w:p>
        </w:tc>
      </w:tr>
      <w:tr>
        <w:tblPrEx>
          <w:tblLayout w:type="fixed"/>
          <w:tblCellMar>
            <w:top w:w="15" w:type="dxa"/>
            <w:left w:w="15" w:type="dxa"/>
            <w:bottom w:w="15" w:type="dxa"/>
            <w:right w:w="15" w:type="dxa"/>
          </w:tblCellMar>
        </w:tblPrEx>
        <w:trPr>
          <w:trHeight w:val="880" w:hRule="atLeast"/>
          <w:tblHeader/>
        </w:trPr>
        <w:tc>
          <w:tcPr>
            <w:tcW w:w="9654"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left"/>
              <w:textAlignment w:val="center"/>
              <w:rPr>
                <w:rFonts w:ascii="仿宋" w:hAnsi="仿宋" w:eastAsia="仿宋" w:cs="宋体"/>
                <w:color w:val="000000"/>
                <w:sz w:val="24"/>
              </w:rPr>
            </w:pPr>
            <w:r>
              <w:rPr>
                <w:rFonts w:hint="eastAsia" w:ascii="仿宋" w:hAnsi="仿宋" w:eastAsia="仿宋" w:cs="宋体"/>
                <w:color w:val="000000"/>
                <w:sz w:val="24"/>
                <w:lang w:eastAsia="zh-CN"/>
              </w:rPr>
              <w:t>技术</w:t>
            </w:r>
            <w:r>
              <w:rPr>
                <w:rFonts w:hint="eastAsia" w:ascii="仿宋" w:hAnsi="仿宋" w:eastAsia="仿宋" w:cs="宋体"/>
                <w:color w:val="000000"/>
                <w:sz w:val="24"/>
              </w:rPr>
              <w:t>合计</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24"/>
              </w:rPr>
            </w:pPr>
          </w:p>
        </w:tc>
      </w:tr>
      <w:tr>
        <w:tblPrEx>
          <w:tblLayout w:type="fixed"/>
          <w:tblCellMar>
            <w:top w:w="15" w:type="dxa"/>
            <w:left w:w="15" w:type="dxa"/>
            <w:bottom w:w="15" w:type="dxa"/>
            <w:right w:w="15" w:type="dxa"/>
          </w:tblCellMar>
        </w:tblPrEx>
        <w:trPr>
          <w:trHeight w:val="1008" w:hRule="atLeast"/>
          <w:tblHeader/>
        </w:trPr>
        <w:tc>
          <w:tcPr>
            <w:tcW w:w="9654"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left"/>
              <w:textAlignment w:val="center"/>
              <w:rPr>
                <w:rFonts w:ascii="仿宋" w:hAnsi="仿宋" w:eastAsia="仿宋" w:cs="宋体"/>
                <w:color w:val="000000"/>
                <w:sz w:val="24"/>
              </w:rPr>
            </w:pPr>
            <w:r>
              <w:rPr>
                <w:rFonts w:hint="eastAsia" w:ascii="仿宋" w:hAnsi="仿宋" w:eastAsia="仿宋" w:cs="宋体"/>
                <w:color w:val="000000"/>
                <w:sz w:val="24"/>
              </w:rPr>
              <w:t>评委签名：</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24"/>
              </w:rPr>
            </w:pPr>
          </w:p>
        </w:tc>
      </w:tr>
    </w:tbl>
    <w:p>
      <w:pPr>
        <w:jc w:val="left"/>
        <w:rPr>
          <w:sz w:val="28"/>
        </w:rPr>
      </w:pPr>
      <w:r>
        <w:rPr>
          <w:rFonts w:hint="eastAsia"/>
          <w:sz w:val="28"/>
        </w:rPr>
        <w:t>二、报价评分满分为</w:t>
      </w:r>
      <w:r>
        <w:rPr>
          <w:rFonts w:hint="eastAsia"/>
          <w:sz w:val="28"/>
          <w:lang w:val="en-US" w:eastAsia="zh-CN"/>
        </w:rPr>
        <w:t>5</w:t>
      </w:r>
      <w:r>
        <w:rPr>
          <w:rFonts w:hint="eastAsia"/>
          <w:sz w:val="28"/>
        </w:rPr>
        <w:t>分。</w:t>
      </w:r>
    </w:p>
    <w:p>
      <w:pPr>
        <w:widowControl/>
        <w:spacing w:line="320" w:lineRule="exact"/>
        <w:jc w:val="left"/>
        <w:textAlignment w:val="center"/>
        <w:rPr>
          <w:rFonts w:ascii="仿宋" w:hAnsi="仿宋" w:eastAsia="仿宋" w:cs="宋体"/>
          <w:color w:val="000000"/>
          <w:sz w:val="28"/>
        </w:rPr>
      </w:pPr>
      <w:r>
        <w:rPr>
          <w:rFonts w:hint="eastAsia" w:ascii="仿宋" w:hAnsi="仿宋" w:eastAsia="仿宋" w:cs="宋体"/>
          <w:color w:val="000000"/>
          <w:sz w:val="28"/>
        </w:rPr>
        <w:t>价格计分统一采用投标最低报价优先法计算，即满足招标文件要求且</w:t>
      </w:r>
    </w:p>
    <w:p>
      <w:pPr>
        <w:widowControl/>
        <w:spacing w:line="320" w:lineRule="exact"/>
        <w:jc w:val="left"/>
        <w:textAlignment w:val="center"/>
        <w:rPr>
          <w:rFonts w:ascii="仿宋" w:hAnsi="仿宋" w:eastAsia="仿宋" w:cs="宋体"/>
          <w:color w:val="000000"/>
          <w:sz w:val="28"/>
        </w:rPr>
      </w:pPr>
      <w:r>
        <w:rPr>
          <w:rFonts w:hint="eastAsia" w:ascii="仿宋" w:hAnsi="仿宋" w:eastAsia="仿宋" w:cs="宋体"/>
          <w:color w:val="000000"/>
          <w:sz w:val="28"/>
        </w:rPr>
        <w:t>投标价格最低的投标报价为评标基准价，其价格分为满分。</w:t>
      </w:r>
    </w:p>
    <w:p>
      <w:pPr>
        <w:widowControl/>
        <w:spacing w:line="320" w:lineRule="exact"/>
        <w:jc w:val="left"/>
        <w:textAlignment w:val="center"/>
        <w:rPr>
          <w:rFonts w:ascii="仿宋" w:hAnsi="仿宋" w:eastAsia="仿宋" w:cs="宋体"/>
          <w:color w:val="000000"/>
          <w:sz w:val="28"/>
        </w:rPr>
      </w:pPr>
      <w:r>
        <w:rPr>
          <w:rFonts w:hint="eastAsia" w:ascii="仿宋" w:hAnsi="仿宋" w:eastAsia="仿宋" w:cs="宋体"/>
          <w:color w:val="000000"/>
          <w:sz w:val="28"/>
        </w:rPr>
        <w:t>即：评标基准价 = 投标最低报价计</w:t>
      </w:r>
      <w:r>
        <w:rPr>
          <w:rFonts w:hint="eastAsia" w:ascii="仿宋" w:hAnsi="仿宋" w:eastAsia="仿宋" w:cs="宋体"/>
          <w:color w:val="000000"/>
          <w:sz w:val="28"/>
          <w:lang w:val="en-US" w:eastAsia="zh-CN"/>
        </w:rPr>
        <w:t>5</w:t>
      </w:r>
      <w:r>
        <w:rPr>
          <w:rFonts w:hint="eastAsia" w:ascii="仿宋" w:hAnsi="仿宋" w:eastAsia="仿宋" w:cs="宋体"/>
          <w:color w:val="000000"/>
          <w:sz w:val="28"/>
        </w:rPr>
        <w:t>分；</w:t>
      </w:r>
    </w:p>
    <w:p>
      <w:pPr>
        <w:widowControl/>
        <w:spacing w:line="320" w:lineRule="exact"/>
        <w:jc w:val="left"/>
        <w:textAlignment w:val="center"/>
        <w:rPr>
          <w:rFonts w:ascii="仿宋" w:hAnsi="仿宋" w:eastAsia="仿宋" w:cs="宋体"/>
          <w:color w:val="000000"/>
          <w:sz w:val="28"/>
        </w:rPr>
      </w:pPr>
      <w:r>
        <w:rPr>
          <w:rFonts w:hint="eastAsia" w:ascii="仿宋" w:hAnsi="仿宋" w:eastAsia="仿宋" w:cs="宋体"/>
          <w:color w:val="000000"/>
          <w:sz w:val="28"/>
        </w:rPr>
        <w:t>投标报价高于评标基准价、低于或等于采购人预算价的，投标报价得分 = 评标基准价/投标报价×</w:t>
      </w:r>
      <w:r>
        <w:rPr>
          <w:rFonts w:hint="eastAsia" w:ascii="仿宋" w:hAnsi="仿宋" w:eastAsia="仿宋" w:cs="宋体"/>
          <w:color w:val="000000"/>
          <w:sz w:val="28"/>
          <w:lang w:val="en-US" w:eastAsia="zh-CN"/>
        </w:rPr>
        <w:t>5</w:t>
      </w:r>
      <w:r>
        <w:rPr>
          <w:rFonts w:hint="eastAsia" w:ascii="仿宋" w:hAnsi="仿宋" w:eastAsia="仿宋" w:cs="宋体"/>
          <w:color w:val="000000"/>
          <w:sz w:val="28"/>
        </w:rPr>
        <w:t>分。</w:t>
      </w: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D7879"/>
    <w:multiLevelType w:val="multilevel"/>
    <w:tmpl w:val="247D78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8219DE"/>
    <w:multiLevelType w:val="multilevel"/>
    <w:tmpl w:val="2D8219D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7C3A"/>
    <w:rsid w:val="0014496C"/>
    <w:rsid w:val="001A2D00"/>
    <w:rsid w:val="001C2082"/>
    <w:rsid w:val="002B4ABE"/>
    <w:rsid w:val="00342C1A"/>
    <w:rsid w:val="00382E80"/>
    <w:rsid w:val="003A7C3A"/>
    <w:rsid w:val="00503E4D"/>
    <w:rsid w:val="00584B8B"/>
    <w:rsid w:val="006073DB"/>
    <w:rsid w:val="00667BA1"/>
    <w:rsid w:val="006C1A7F"/>
    <w:rsid w:val="007D471B"/>
    <w:rsid w:val="00864270"/>
    <w:rsid w:val="008870B0"/>
    <w:rsid w:val="008C23FB"/>
    <w:rsid w:val="00900479"/>
    <w:rsid w:val="00980AB5"/>
    <w:rsid w:val="00993CB0"/>
    <w:rsid w:val="009E2DB8"/>
    <w:rsid w:val="009F2195"/>
    <w:rsid w:val="00A12A4D"/>
    <w:rsid w:val="00A37CAA"/>
    <w:rsid w:val="00A444AD"/>
    <w:rsid w:val="00A9504A"/>
    <w:rsid w:val="00BE1A23"/>
    <w:rsid w:val="00C54959"/>
    <w:rsid w:val="00C7067F"/>
    <w:rsid w:val="00C92601"/>
    <w:rsid w:val="00CD2F33"/>
    <w:rsid w:val="00DF1B42"/>
    <w:rsid w:val="00E02FAD"/>
    <w:rsid w:val="00E051A0"/>
    <w:rsid w:val="00EA2BE0"/>
    <w:rsid w:val="00F507F0"/>
    <w:rsid w:val="27F730B5"/>
    <w:rsid w:val="411A758C"/>
    <w:rsid w:val="512A16AD"/>
    <w:rsid w:val="6431007D"/>
    <w:rsid w:val="65725F0D"/>
    <w:rsid w:val="6A745D8F"/>
    <w:rsid w:val="71312FBD"/>
    <w:rsid w:val="755B4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常用顶格样式 Char Char"/>
    <w:link w:val="11"/>
    <w:qFormat/>
    <w:locked/>
    <w:uiPriority w:val="0"/>
    <w:rPr>
      <w:rFonts w:ascii="宋体" w:hAnsi="宋体"/>
      <w:sz w:val="24"/>
    </w:rPr>
  </w:style>
  <w:style w:type="paragraph" w:customStyle="1" w:styleId="11">
    <w:name w:val="常用顶格样式"/>
    <w:basedOn w:val="1"/>
    <w:link w:val="10"/>
    <w:qFormat/>
    <w:uiPriority w:val="0"/>
    <w:pPr>
      <w:widowControl/>
      <w:spacing w:line="360" w:lineRule="auto"/>
      <w:jc w:val="left"/>
    </w:pPr>
    <w:rPr>
      <w:rFonts w:ascii="宋体" w:hAnsi="宋体" w:eastAsiaTheme="minorEastAsia" w:cstheme="minorBidi"/>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353</Words>
  <Characters>2016</Characters>
  <Lines>16</Lines>
  <Paragraphs>4</Paragraphs>
  <TotalTime>2</TotalTime>
  <ScaleCrop>false</ScaleCrop>
  <LinksUpToDate>false</LinksUpToDate>
  <CharactersWithSpaces>2365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2019-06-03T03:06:00Z</dcterms:created>
  <dc:creator>Administrator</dc:creator>
  <cp:lastModifiedBy>胖子也有腹肌</cp:lastModifiedBy>
  <dcterms:modified xsi:type="dcterms:W3CDTF">2019-06-04T01:56:34Z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