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附件</w:t>
      </w:r>
      <w:r>
        <w:rPr>
          <w:rFonts w:ascii="微软雅黑" w:hAnsi="微软雅黑" w:eastAsia="微软雅黑" w:cs="微软雅黑"/>
          <w:bCs/>
          <w:sz w:val="24"/>
        </w:rPr>
        <w:t>1</w:t>
      </w:r>
      <w:r>
        <w:rPr>
          <w:rFonts w:hint="eastAsia" w:ascii="微软雅黑" w:hAnsi="微软雅黑" w:eastAsia="微软雅黑" w:cs="微软雅黑"/>
          <w:bCs/>
          <w:sz w:val="24"/>
        </w:rPr>
        <w:t>：</w:t>
      </w:r>
    </w:p>
    <w:p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常德市建筑起重机械租赁、安装企业及执（从）业人员信用信息管理（基础信用信息）评价标准（</w:t>
      </w:r>
      <w:r>
        <w:rPr>
          <w:b/>
          <w:bCs/>
          <w:sz w:val="32"/>
        </w:rPr>
        <w:t>AJ</w:t>
      </w:r>
      <w:r>
        <w:rPr>
          <w:rFonts w:hint="eastAsia"/>
          <w:b/>
          <w:bCs/>
          <w:sz w:val="32"/>
        </w:rPr>
        <w:t>）</w:t>
      </w:r>
    </w:p>
    <w:p>
      <w:pPr>
        <w:ind w:firstLine="181" w:firstLineChars="100"/>
        <w:rPr>
          <w:b/>
          <w:bCs/>
          <w:sz w:val="18"/>
          <w:szCs w:val="18"/>
        </w:rPr>
      </w:pPr>
    </w:p>
    <w:tbl>
      <w:tblPr>
        <w:tblStyle w:val="3"/>
        <w:tblW w:w="14508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00"/>
        <w:gridCol w:w="540"/>
        <w:gridCol w:w="6319"/>
        <w:gridCol w:w="6"/>
        <w:gridCol w:w="3215"/>
        <w:gridCol w:w="1620"/>
        <w:gridCol w:w="109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子序号</w:t>
            </w:r>
          </w:p>
        </w:tc>
        <w:tc>
          <w:tcPr>
            <w:tcW w:w="54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632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评价内容</w:t>
            </w:r>
          </w:p>
        </w:tc>
        <w:tc>
          <w:tcPr>
            <w:tcW w:w="32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评价分数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评分有效期</w:t>
            </w:r>
          </w:p>
        </w:tc>
        <w:tc>
          <w:tcPr>
            <w:tcW w:w="1093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15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AJ-1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</w:tc>
        <w:tc>
          <w:tcPr>
            <w:tcW w:w="63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企业网上申领电子《信用信息手册》。需提交企业营业执照等相关证件，材料经核实真实并在有效期内。</w:t>
            </w:r>
          </w:p>
        </w:tc>
        <w:tc>
          <w:tcPr>
            <w:tcW w:w="3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每发现有一项资料弄虚作假扣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分（警示信用信息）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年（从发现之日起计算）</w:t>
            </w:r>
          </w:p>
        </w:tc>
        <w:tc>
          <w:tcPr>
            <w:tcW w:w="1093" w:type="dxa"/>
            <w:tcBorders>
              <w:right w:val="single" w:color="auto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下达的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告知书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815" w:type="dxa"/>
            <w:vMerge w:val="restart"/>
            <w:tcBorders>
              <w:left w:val="single" w:color="auto" w:sz="6" w:space="0"/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AJ-2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2-1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</w:t>
            </w:r>
          </w:p>
        </w:tc>
        <w:tc>
          <w:tcPr>
            <w:tcW w:w="631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在常德市行政区域内承接的已取得施工许可证工程的合同总价在</w:t>
            </w:r>
            <w:r>
              <w:rPr>
                <w:rFonts w:ascii="宋体" w:hAnsi="宋体"/>
                <w:szCs w:val="21"/>
              </w:rPr>
              <w:t xml:space="preserve"> 30</w:t>
            </w:r>
            <w:r>
              <w:rPr>
                <w:rFonts w:hint="eastAsia" w:ascii="宋体" w:hAnsi="宋体"/>
                <w:szCs w:val="21"/>
              </w:rPr>
              <w:t>万以上（含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万元）的建筑起重机械租赁、安装业务。</w:t>
            </w:r>
          </w:p>
        </w:tc>
        <w:tc>
          <w:tcPr>
            <w:tcW w:w="322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每项加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620" w:type="dxa"/>
            <w:vMerge w:val="restart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年（以合同签署日期为准）</w:t>
            </w:r>
          </w:p>
        </w:tc>
        <w:tc>
          <w:tcPr>
            <w:tcW w:w="1093" w:type="dxa"/>
            <w:vMerge w:val="restart"/>
            <w:tcBorders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租赁合同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15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2-2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6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在常德市行政区域内承接的已取得施工许可证工程的合同总价在</w:t>
            </w:r>
            <w:r>
              <w:rPr>
                <w:rFonts w:ascii="宋体" w:hAnsi="宋体"/>
                <w:szCs w:val="21"/>
              </w:rPr>
              <w:t xml:space="preserve"> 25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万以内（含</w:t>
            </w:r>
            <w:r>
              <w:rPr>
                <w:rFonts w:ascii="宋体" w:hAnsi="宋体"/>
                <w:szCs w:val="21"/>
              </w:rPr>
              <w:t xml:space="preserve">25 </w:t>
            </w:r>
            <w:r>
              <w:rPr>
                <w:rFonts w:hint="eastAsia" w:ascii="宋体" w:hAnsi="宋体"/>
                <w:szCs w:val="21"/>
              </w:rPr>
              <w:t>万元）的建筑起重机械租赁、安装业务。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每项加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620" w:type="dxa"/>
            <w:vMerge w:val="continue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15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2-3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6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在常德市行政区域内承接的已取得施工许可证工程的合同总价在</w:t>
            </w:r>
            <w:r>
              <w:rPr>
                <w:rFonts w:ascii="宋体" w:hAnsi="宋体"/>
                <w:szCs w:val="21"/>
              </w:rPr>
              <w:t xml:space="preserve"> 20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万以内（含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万元）的建筑起重机械租赁、安装业务。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每项加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620" w:type="dxa"/>
            <w:vMerge w:val="continue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15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2-4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6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在常德市行政区域内承接的已取得施工许可证工程的合同总价在</w:t>
            </w:r>
            <w:r>
              <w:rPr>
                <w:rFonts w:ascii="宋体" w:hAnsi="宋体"/>
                <w:szCs w:val="21"/>
              </w:rPr>
              <w:t xml:space="preserve"> 15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 xml:space="preserve">20 </w:t>
            </w:r>
            <w:r>
              <w:rPr>
                <w:rFonts w:hint="eastAsia" w:ascii="宋体" w:hAnsi="宋体"/>
                <w:szCs w:val="21"/>
              </w:rPr>
              <w:t>万以内（含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万元）的建筑起重机械租赁、安装业务。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每项加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620" w:type="dxa"/>
            <w:vMerge w:val="continue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1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ind w:firstLine="321" w:firstLineChars="100"/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rFonts w:ascii="华文仿宋" w:hAnsi="华文仿宋" w:eastAsia="华文仿宋"/>
          <w:b/>
          <w:bCs/>
          <w:sz w:val="32"/>
        </w:rPr>
      </w:pPr>
      <w:r>
        <w:rPr>
          <w:rFonts w:hint="eastAsia"/>
          <w:b/>
          <w:bCs/>
          <w:sz w:val="32"/>
        </w:rPr>
        <w:t>常德市建筑起重机械租赁、安装企业及执（从）业人员信用信息管理（良好信用信息）评价标准（</w:t>
      </w:r>
      <w:r>
        <w:rPr>
          <w:b/>
          <w:bCs/>
          <w:sz w:val="32"/>
        </w:rPr>
        <w:t>Al</w:t>
      </w:r>
      <w:r>
        <w:rPr>
          <w:rFonts w:hint="eastAsia"/>
          <w:b/>
          <w:bCs/>
          <w:sz w:val="32"/>
        </w:rPr>
        <w:t>）</w:t>
      </w:r>
    </w:p>
    <w:p>
      <w:pPr>
        <w:rPr>
          <w:rFonts w:ascii="宋体"/>
          <w:sz w:val="18"/>
          <w:szCs w:val="18"/>
        </w:rPr>
      </w:pPr>
    </w:p>
    <w:tbl>
      <w:tblPr>
        <w:tblStyle w:val="3"/>
        <w:tblW w:w="1449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76"/>
        <w:gridCol w:w="840"/>
        <w:gridCol w:w="1184"/>
        <w:gridCol w:w="4861"/>
        <w:gridCol w:w="3210"/>
        <w:gridCol w:w="1395"/>
        <w:gridCol w:w="13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子序号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60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评价标准</w:t>
            </w:r>
          </w:p>
        </w:tc>
        <w:tc>
          <w:tcPr>
            <w:tcW w:w="321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评价分数</w:t>
            </w:r>
          </w:p>
        </w:tc>
        <w:tc>
          <w:tcPr>
            <w:tcW w:w="139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评分有效期</w:t>
            </w:r>
          </w:p>
        </w:tc>
        <w:tc>
          <w:tcPr>
            <w:tcW w:w="13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AL-1</w:t>
            </w: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1-1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通报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表扬</w:t>
            </w:r>
          </w:p>
        </w:tc>
        <w:tc>
          <w:tcPr>
            <w:tcW w:w="118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486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住建部通报表扬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</w:t>
            </w:r>
            <w:r>
              <w:rPr>
                <w:rFonts w:ascii="宋体" w:hAnsi="宋体"/>
                <w:szCs w:val="21"/>
              </w:rPr>
              <w:t xml:space="preserve"> 5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年（从通报表扬文件发出之日起计算）</w:t>
            </w: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相关文件</w:t>
            </w: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1-2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8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湖南省级</w:t>
            </w:r>
          </w:p>
        </w:tc>
        <w:tc>
          <w:tcPr>
            <w:tcW w:w="486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省人民政府、省住建厅通报表扬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</w:t>
            </w:r>
            <w:r>
              <w:rPr>
                <w:rFonts w:ascii="宋体" w:hAnsi="宋体"/>
                <w:szCs w:val="21"/>
              </w:rPr>
              <w:t xml:space="preserve"> 4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1-3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84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常德市（县）级</w:t>
            </w:r>
          </w:p>
        </w:tc>
        <w:tc>
          <w:tcPr>
            <w:tcW w:w="486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市人民政府、市住建局通报表扬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</w:t>
            </w:r>
            <w:r>
              <w:rPr>
                <w:rFonts w:ascii="宋体" w:hAnsi="宋体"/>
                <w:szCs w:val="21"/>
              </w:rPr>
              <w:t xml:space="preserve"> 3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1-4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84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86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县级人民政府、县级住建局通报表扬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</w:t>
            </w:r>
            <w:r>
              <w:rPr>
                <w:rFonts w:ascii="宋体" w:hAnsi="宋体"/>
                <w:szCs w:val="21"/>
              </w:rPr>
              <w:t xml:space="preserve"> 2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AL-2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2-1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6045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累计年度纳税总额满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万元的，加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分（纳税总额不足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万元的，不予加分），缴纳总额超出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万的部分，每满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万元单位金额加</w:t>
            </w:r>
            <w:r>
              <w:rPr>
                <w:rFonts w:ascii="宋体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分，上限为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object>
                <v:shape id="_x0000_i1025" o:spt="75" type="#_x0000_t75" style="height:25.9pt;width:146.9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（纳税金额单位为万元）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年（从业绩下年度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日起）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市各级税务部门出具的税务年度审计报告或证明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AL-3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3-1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社会公益</w:t>
            </w:r>
          </w:p>
        </w:tc>
        <w:tc>
          <w:tcPr>
            <w:tcW w:w="60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在本市从事社会公益捐款捐物金额</w:t>
            </w:r>
            <w:r>
              <w:rPr>
                <w:rFonts w:ascii="宋体" w:hAnsi="宋体"/>
                <w:szCs w:val="21"/>
              </w:rPr>
              <w:t>1-3</w:t>
            </w:r>
            <w:r>
              <w:rPr>
                <w:rFonts w:hint="eastAsia" w:ascii="宋体" w:hAnsi="宋体"/>
                <w:szCs w:val="21"/>
              </w:rPr>
              <w:t>万元（含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万元）</w:t>
            </w:r>
          </w:p>
        </w:tc>
        <w:tc>
          <w:tcPr>
            <w:tcW w:w="32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分（年度上限分值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年（从捐款票据日期起）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捐赠票据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3-2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在本市从事社会公益捐款捐物金额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万元以上（含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万元）</w:t>
            </w:r>
          </w:p>
        </w:tc>
        <w:tc>
          <w:tcPr>
            <w:tcW w:w="32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分（年度上限分值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常德市建筑起重机械租赁、安装企业及执（从）业人员信用信息管理</w:t>
      </w:r>
      <w:r>
        <w:rPr>
          <w:rFonts w:hint="eastAsia" w:ascii="宋体" w:hAnsi="宋体"/>
          <w:b/>
          <w:sz w:val="32"/>
          <w:szCs w:val="32"/>
        </w:rPr>
        <w:t>（不良信用信息）评价标准（</w:t>
      </w:r>
      <w:r>
        <w:rPr>
          <w:rFonts w:ascii="宋体" w:hAnsi="宋体"/>
          <w:b/>
          <w:sz w:val="32"/>
          <w:szCs w:val="32"/>
        </w:rPr>
        <w:t>A1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ind w:firstLine="361" w:firstLineChars="200"/>
        <w:rPr>
          <w:rFonts w:ascii="宋体"/>
          <w:b/>
          <w:sz w:val="18"/>
          <w:szCs w:val="18"/>
        </w:rPr>
      </w:pPr>
    </w:p>
    <w:tbl>
      <w:tblPr>
        <w:tblStyle w:val="3"/>
        <w:tblW w:w="13657" w:type="dxa"/>
        <w:jc w:val="center"/>
        <w:tblInd w:w="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66"/>
        <w:gridCol w:w="650"/>
        <w:gridCol w:w="905"/>
        <w:gridCol w:w="5495"/>
        <w:gridCol w:w="2421"/>
        <w:gridCol w:w="142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子序号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549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评价标准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评价分数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A01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1-1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通报批评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5495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本市范围工程项目受到住建部通报批评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年（从通报批评文件发出之日起计算）</w:t>
            </w: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行政主管部门文件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1-2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湖南省级</w:t>
            </w:r>
          </w:p>
        </w:tc>
        <w:tc>
          <w:tcPr>
            <w:tcW w:w="5495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本市范围工程项目受到省级人民政府、省住建厅通报批评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分（提示信用信息）</w:t>
            </w:r>
          </w:p>
        </w:tc>
        <w:tc>
          <w:tcPr>
            <w:tcW w:w="142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1-3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常德市县级</w:t>
            </w:r>
          </w:p>
        </w:tc>
        <w:tc>
          <w:tcPr>
            <w:tcW w:w="5495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本市范围工程项目受到市人民政府、市住建局通报批评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42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1-4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495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本市范围工程项目受到县级人民政府、县住建局通报批评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42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A02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2-1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资质动态管理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企业的硬件（场地、生产办公设施、人员配备）与软件（规章管理制度）条件不能适应经营规模要求</w:t>
            </w:r>
          </w:p>
        </w:tc>
        <w:tc>
          <w:tcPr>
            <w:tcW w:w="2421" w:type="dxa"/>
            <w:vMerge w:val="restart"/>
            <w:noWrap w:val="0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每项扣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ind w:firstLine="840" w:firstLineChars="400"/>
              <w:rPr>
                <w:rFonts w:ascii="宋体"/>
                <w:szCs w:val="21"/>
              </w:rPr>
            </w:pP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年（从相关部门出具处理文件之日起开始计算）</w:t>
            </w: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下达的告知书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2-2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安装企业的技术负责人、安全负责人、注册人员、企业专职安全员存在挂靠或者多企业执业。</w:t>
            </w:r>
          </w:p>
        </w:tc>
        <w:tc>
          <w:tcPr>
            <w:tcW w:w="2421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2-3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未按要求安排人员参加行政监督部门（或机构）举办的业务学习、培训、会议等活动的</w:t>
            </w:r>
          </w:p>
        </w:tc>
        <w:tc>
          <w:tcPr>
            <w:tcW w:w="2421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A03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3-1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未取得资质证书承接业务；超越本单位资质等级承接业务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分（警示信用信息）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下达的告知书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3-2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以欺骗手段取得资质证书承揽业务的</w:t>
            </w:r>
            <w:r>
              <w:rPr>
                <w:rFonts w:ascii="宋体" w:hAnsi="宋体"/>
                <w:szCs w:val="21"/>
              </w:rPr>
              <w:t xml:space="preserve">             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分（警示信用信息）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下达的告知书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3-3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经营设备品种超出经营范围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 xml:space="preserve"> 10</w:t>
            </w:r>
            <w:r>
              <w:rPr>
                <w:rFonts w:hint="eastAsia" w:ascii="宋体" w:hAnsi="宋体"/>
                <w:szCs w:val="21"/>
              </w:rPr>
              <w:t>分（警示信用信息）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下达的告知书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3-4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发生重大人身安全事故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一般事故每次扣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分（提示信用信息）；较大及以上事故扣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分（警示信用信息）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下达的告知书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3-5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发生影响恶劣的劳资纠纷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分（提示信用信息）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下达的告知书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3-6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违反国家税收规定导致税务部门处罚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分（提示信用信息）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-545465</wp:posOffset>
                      </wp:positionH>
                      <wp:positionV relativeFrom="paragraph">
                        <wp:posOffset>125730</wp:posOffset>
                      </wp:positionV>
                      <wp:extent cx="454025" cy="276225"/>
                      <wp:effectExtent l="4445" t="4445" r="1778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59815" y="1294130"/>
                                <a:ext cx="454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>A03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2.95pt;margin-top:9.9pt;height:21.75pt;width:35.75pt;z-index:251658240;mso-width-relative:page;mso-height-relative:page;" fillcolor="#FFFFFF" filled="t" stroked="t" coordsize="21600,21600" o:gfxdata="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X0tpNgAAAAJAQAADwAAAAAAAAABACAA&#10;AAAiAAAAZHJzL2Rvd25yZXYueG1sUEsBAhQAFAAAAAgAh07iQLUtNFZGAgAAgwQAAA4AAAAAAAAA&#10;AQAgAAAAJwEAAGRycy9lMm9Eb2MueG1sUEsFBgAAAAAGAAYAWQEAAN8FAAAAAA==&#10;">
                      <v:path/>
                      <v:fill on="t" focussize="0,0"/>
                      <v:stroke weight="0.5pt" color="#FFFFFF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宋体" w:hAnsi="宋体"/>
                                <w:szCs w:val="21"/>
                              </w:rPr>
                              <w:t>A03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w:t>3-7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不接受建设主管部门及质量安全监督机构的监督检查或处罚决定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分（提示信用信息）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3-8</w:t>
            </w:r>
          </w:p>
        </w:tc>
        <w:tc>
          <w:tcPr>
            <w:tcW w:w="6400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其它不良行为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每次扣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相关告知书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63ECB"/>
    <w:rsid w:val="5D66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2019-08-13T07:46:00Z</dcterms:created>
  <dc:creator>Administrator</dc:creator>
  <cp:lastModifiedBy>Administrator</cp:lastModifiedBy>
  <dcterms:modified xsi:type="dcterms:W3CDTF">2019-08-13T07:47:55Z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