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F2" w:rsidRDefault="00DC59F2" w:rsidP="00DC59F2">
      <w:pPr>
        <w:widowControl/>
        <w:shd w:val="clear" w:color="auto" w:fill="FFFFFF"/>
        <w:ind w:firstLine="560"/>
        <w:jc w:val="center"/>
        <w:rPr>
          <w:rFonts w:ascii="_5b8b_4f53" w:eastAsia="宋体" w:hAnsi="_5b8b_4f53" w:cs="宋体" w:hint="eastAsia"/>
          <w:b/>
          <w:bCs/>
          <w:color w:val="000000"/>
          <w:kern w:val="0"/>
          <w:sz w:val="28"/>
          <w:szCs w:val="28"/>
        </w:rPr>
      </w:pPr>
    </w:p>
    <w:p w:rsidR="00DC59F2" w:rsidRDefault="00DC59F2" w:rsidP="00DC59F2">
      <w:pPr>
        <w:widowControl/>
        <w:shd w:val="clear" w:color="auto" w:fill="FFFFFF"/>
        <w:ind w:firstLine="560"/>
        <w:jc w:val="center"/>
        <w:rPr>
          <w:rFonts w:ascii="_5b8b_4f53" w:eastAsia="宋体" w:hAnsi="_5b8b_4f53" w:cs="宋体" w:hint="eastAsia"/>
          <w:b/>
          <w:bCs/>
          <w:color w:val="000000"/>
          <w:kern w:val="0"/>
          <w:sz w:val="28"/>
          <w:szCs w:val="28"/>
        </w:rPr>
      </w:pPr>
    </w:p>
    <w:p w:rsidR="00013DAA" w:rsidRPr="00013DAA" w:rsidRDefault="00013DAA" w:rsidP="00013DAA">
      <w:pPr>
        <w:widowControl/>
        <w:shd w:val="clear" w:color="auto" w:fill="FFFFFF"/>
        <w:ind w:firstLine="560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013DAA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高慧云老师培训大纲介绍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【个人简介】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高慧云，税法教授，北京京都律师事务所兼职税务律师，税务专业带头人，第六届北京市高校教学名师，长期担任企业税务法律顾问，尤尼泰（湖南）税务师事务所特聘讲师，进行财税筹划、经济合同审核、经济合同模板设计、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IPO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运作咨询鉴证、私募投资基金税收设计、非洲税收法律事务、家族信托税务顾问等业务，同时为税务局、纳税人进行税收行政法解读、营业税改征增值税政策解读与财税处理、企业所得税汇算清缴、价值链与税收筹划、经济合同中的涉税风险、房地产与建安企业涉税问题处理与风险防范等课程培训。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【培训特点】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在讲课过程中与实际工作紧密结合，注重实用性，教学方法多样，授课风趣，擅长把握学员心理，受到学员的一致好评。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【主要内训服务客户】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lastRenderedPageBreak/>
        <w:t>北京航天信息股份有限公司及其全国各子公司、山东广播电影电视局、山东广电网络有限公司、北京京东方股份有限公司、中信银行私人银行部、北京印钞厂、山东泰山房地产有限公司、北京市朝阳区地税局、北京市宣武区地税局、湖南常德国税局和地税局。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【课程介绍】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建安企业增值税展望、实施与风险防范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  <w:r w:rsidRPr="00013DAA">
        <w:rPr>
          <w:rFonts w:ascii="_5b8b_4f53" w:eastAsia="宋体" w:hAnsi="_5b8b_4f53" w:cs="宋体"/>
          <w:color w:val="FF0000"/>
          <w:kern w:val="0"/>
          <w:sz w:val="28"/>
          <w:szCs w:val="28"/>
        </w:rPr>
        <w:t>【时间】</w:t>
      </w:r>
      <w:r w:rsidRPr="00013DAA">
        <w:rPr>
          <w:rFonts w:ascii="Calibri" w:eastAsia="宋体" w:hAnsi="Calibri" w:cs="Calibri"/>
          <w:color w:val="FF0000"/>
          <w:kern w:val="0"/>
          <w:sz w:val="28"/>
          <w:szCs w:val="28"/>
        </w:rPr>
        <w:t>1</w:t>
      </w:r>
      <w:r w:rsidRPr="00013DAA">
        <w:rPr>
          <w:rFonts w:ascii="Calibri" w:eastAsia="宋体" w:hAnsi="Calibri" w:cs="Calibri"/>
          <w:color w:val="FF0000"/>
          <w:kern w:val="0"/>
          <w:sz w:val="28"/>
          <w:szCs w:val="28"/>
        </w:rPr>
        <w:t>天</w:t>
      </w:r>
      <w:r w:rsidRPr="00013DAA">
        <w:rPr>
          <w:rFonts w:ascii="_5b8b_4f53" w:eastAsia="宋体" w:hAnsi="_5b8b_4f53" w:cs="宋体"/>
          <w:color w:val="FF0000"/>
          <w:kern w:val="0"/>
          <w:sz w:val="28"/>
          <w:szCs w:val="28"/>
        </w:rPr>
        <w:t>，</w:t>
      </w:r>
      <w:r w:rsidRPr="00013DAA">
        <w:rPr>
          <w:rFonts w:ascii="Calibri" w:eastAsia="宋体" w:hAnsi="Calibri" w:cs="Calibri"/>
          <w:color w:val="FF0000"/>
          <w:kern w:val="0"/>
          <w:sz w:val="28"/>
          <w:szCs w:val="28"/>
        </w:rPr>
        <w:t>2016</w:t>
      </w:r>
      <w:r w:rsidRPr="00013DAA">
        <w:rPr>
          <w:rFonts w:ascii="Calibri" w:eastAsia="宋体" w:hAnsi="Calibri" w:cs="Calibri"/>
          <w:color w:val="FF0000"/>
          <w:kern w:val="0"/>
          <w:sz w:val="28"/>
          <w:szCs w:val="28"/>
        </w:rPr>
        <w:t>年</w:t>
      </w:r>
      <w:r w:rsidRPr="00013DAA">
        <w:rPr>
          <w:rFonts w:ascii="Calibri" w:eastAsia="宋体" w:hAnsi="Calibri" w:cs="Calibri"/>
          <w:color w:val="FF0000"/>
          <w:kern w:val="0"/>
          <w:sz w:val="28"/>
          <w:szCs w:val="28"/>
        </w:rPr>
        <w:t>4</w:t>
      </w:r>
      <w:r w:rsidRPr="00013DAA">
        <w:rPr>
          <w:rFonts w:ascii="Calibri" w:eastAsia="宋体" w:hAnsi="Calibri" w:cs="Calibri"/>
          <w:color w:val="FF0000"/>
          <w:kern w:val="0"/>
          <w:sz w:val="28"/>
          <w:szCs w:val="28"/>
        </w:rPr>
        <w:t>月</w:t>
      </w:r>
      <w:r w:rsidRPr="00013DAA">
        <w:rPr>
          <w:rFonts w:ascii="Calibri" w:eastAsia="宋体" w:hAnsi="Calibri" w:cs="Calibri"/>
          <w:color w:val="FF0000"/>
          <w:kern w:val="0"/>
          <w:sz w:val="28"/>
          <w:szCs w:val="28"/>
        </w:rPr>
        <w:t>13</w:t>
      </w:r>
      <w:r w:rsidRPr="00013DAA">
        <w:rPr>
          <w:rFonts w:ascii="Calibri" w:eastAsia="宋体" w:hAnsi="Calibri" w:cs="Calibri"/>
          <w:color w:val="FF0000"/>
          <w:kern w:val="0"/>
          <w:sz w:val="28"/>
          <w:szCs w:val="28"/>
        </w:rPr>
        <w:t>日。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【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课程大纲】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模块一</w:t>
      </w:r>
      <w:r w:rsidRPr="00013DAA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 xml:space="preserve"> </w:t>
      </w:r>
      <w:r w:rsidRPr="00013DAA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建安企业新老项目的过渡政策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1.</w:t>
      </w:r>
      <w:r w:rsidRPr="00013DAA">
        <w:rPr>
          <w:rFonts w:ascii="Calibri" w:eastAsia="宋体" w:hAnsi="Calibri" w:cs="Calibri"/>
          <w:color w:val="000000"/>
          <w:kern w:val="0"/>
          <w:sz w:val="28"/>
        </w:rPr>
        <w:t> 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增值税的计税原理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2.</w:t>
      </w:r>
      <w:r w:rsidRPr="00013DAA">
        <w:rPr>
          <w:rFonts w:ascii="Calibri" w:eastAsia="宋体" w:hAnsi="Calibri" w:cs="Calibri"/>
          <w:color w:val="000000"/>
          <w:kern w:val="0"/>
          <w:sz w:val="28"/>
        </w:rPr>
        <w:t> 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营业税与增值税纳税人的区别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（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1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）增值税纳税人的分类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（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2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）小规模纳税人计算方法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你愿意做小规模纳税人还是一般纳税人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lastRenderedPageBreak/>
        <w:t>3.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建安企业新老项目如何过渡？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4.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过渡项目：缴纳增值税和营业税，哪个税负轻？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模块二</w:t>
      </w:r>
      <w:r w:rsidRPr="00013DAA">
        <w:rPr>
          <w:rFonts w:ascii="Calibri" w:eastAsia="宋体" w:hAnsi="Calibri" w:cs="Calibri"/>
          <w:b/>
          <w:bCs/>
          <w:color w:val="000000"/>
          <w:kern w:val="0"/>
          <w:sz w:val="28"/>
        </w:rPr>
        <w:t> </w:t>
      </w:r>
      <w:r w:rsidRPr="00013DAA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建安企业增值税的特殊规定和风险防范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1.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建筑服务的范围是怎么界定的？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2.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谁是纳税人？总公司、分公司还是项目部？如何处理其中关系？项目所在地税局是否会设置障碍？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3.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建筑业的销售额如何确定？销售额可以差额纳税吗？如何进行账务处理？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4.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包工包料、清包工、甲供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工程的税收政策是否存在差异？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5.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哪些费用的进项税额可以抵扣增值税？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（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1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）人工费用是否可以抵扣？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（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2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）临时建筑允许抵扣进项税额吗？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（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3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）项目完工，水电费结算时需要注意什么问题？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（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4</w:t>
      </w: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t>）分包合同可以抵扣吗？需要注意哪些问题？存在何种风险？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 xml:space="preserve">6. 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工程项目什么时候发生纳税义务？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000000"/>
          <w:kern w:val="0"/>
          <w:sz w:val="28"/>
          <w:szCs w:val="28"/>
        </w:rPr>
        <w:lastRenderedPageBreak/>
        <w:t>预收工程款是否发生纳税义务？工程完工工程款尚未收到是否发生纳税义务？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7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．建筑业纳税地点如何确定？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模块三</w:t>
      </w:r>
      <w:r w:rsidRPr="00013DAA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 xml:space="preserve"> </w:t>
      </w:r>
      <w:r w:rsidRPr="00013DAA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建筑业合同应该注意哪些问题？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1.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营改增后在价格条款上会有哪些风险？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2.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如何撰写合同的价格条款？如何确定付款方式？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4.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不同税率的项目如何签订合同？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5.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甲签订合同，其母公司来开具发票可以吗？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6.</w:t>
      </w:r>
      <w:r w:rsidRPr="00013DAA">
        <w:rPr>
          <w:rFonts w:ascii="Calibri" w:eastAsia="宋体" w:hAnsi="Calibri" w:cs="Calibri"/>
          <w:color w:val="000000"/>
          <w:kern w:val="0"/>
          <w:sz w:val="28"/>
          <w:szCs w:val="28"/>
        </w:rPr>
        <w:t>与劳务公司在签订合同时需要注意什么？</w:t>
      </w:r>
    </w:p>
    <w:p w:rsidR="00013DAA" w:rsidRPr="00013DAA" w:rsidRDefault="00013DAA" w:rsidP="00013DA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3DAA">
        <w:rPr>
          <w:rFonts w:ascii="_5b8b_4f53" w:eastAsia="宋体" w:hAnsi="_5b8b_4f53" w:cs="宋体"/>
          <w:color w:val="FF0000"/>
          <w:kern w:val="0"/>
          <w:sz w:val="28"/>
          <w:szCs w:val="28"/>
        </w:rPr>
        <w:t>如果贵协会通过和企业沟通后对授课有新的需求，可以提出修改或增加</w:t>
      </w:r>
    </w:p>
    <w:p w:rsidR="00013DAA" w:rsidRPr="00013DAA" w:rsidRDefault="00013DAA" w:rsidP="00013DAA">
      <w:pPr>
        <w:widowControl/>
        <w:spacing w:line="192" w:lineRule="atLeast"/>
        <w:jc w:val="center"/>
        <w:rPr>
          <w:rFonts w:ascii="Verdana" w:eastAsia="宋体" w:hAnsi="Verdana" w:cs="宋体"/>
          <w:color w:val="EEEEEE"/>
          <w:kern w:val="0"/>
          <w:sz w:val="14"/>
          <w:szCs w:val="14"/>
        </w:rPr>
      </w:pPr>
      <w:r w:rsidRPr="00013DAA">
        <w:rPr>
          <w:rFonts w:ascii="Verdana" w:eastAsia="宋体" w:hAnsi="Verdana" w:cs="宋体"/>
          <w:color w:val="EEEEEE"/>
          <w:kern w:val="0"/>
          <w:sz w:val="14"/>
          <w:szCs w:val="14"/>
        </w:rPr>
        <w:t>Power by</w:t>
      </w:r>
      <w:r w:rsidRPr="00013DAA">
        <w:rPr>
          <w:rFonts w:ascii="Verdana" w:eastAsia="宋体" w:hAnsi="Verdana" w:cs="宋体"/>
          <w:color w:val="EEEEEE"/>
          <w:kern w:val="0"/>
          <w:sz w:val="14"/>
        </w:rPr>
        <w:t> </w:t>
      </w:r>
      <w:hyperlink r:id="rId7" w:tgtFrame="_blank" w:history="1">
        <w:r w:rsidRPr="00013DAA">
          <w:rPr>
            <w:rFonts w:ascii="Verdana" w:eastAsia="宋体" w:hAnsi="Verdana" w:cs="宋体"/>
            <w:color w:val="EEEEEE"/>
            <w:kern w:val="0"/>
            <w:sz w:val="14"/>
            <w:u w:val="single"/>
          </w:rPr>
          <w:t>YOZOSOFT</w:t>
        </w:r>
      </w:hyperlink>
    </w:p>
    <w:p w:rsidR="002B5E44" w:rsidRPr="00DC59F2" w:rsidRDefault="002B5E44">
      <w:pPr>
        <w:rPr>
          <w:sz w:val="32"/>
          <w:szCs w:val="32"/>
        </w:rPr>
      </w:pPr>
    </w:p>
    <w:sectPr w:rsidR="002B5E44" w:rsidRPr="00DC59F2" w:rsidSect="002B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14" w:rsidRDefault="00CA2214" w:rsidP="006C0A92">
      <w:r>
        <w:separator/>
      </w:r>
    </w:p>
  </w:endnote>
  <w:endnote w:type="continuationSeparator" w:id="0">
    <w:p w:rsidR="00CA2214" w:rsidRDefault="00CA2214" w:rsidP="006C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14" w:rsidRDefault="00CA2214" w:rsidP="006C0A92">
      <w:r>
        <w:separator/>
      </w:r>
    </w:p>
  </w:footnote>
  <w:footnote w:type="continuationSeparator" w:id="0">
    <w:p w:rsidR="00CA2214" w:rsidRDefault="00CA2214" w:rsidP="006C0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9F2"/>
    <w:rsid w:val="00013DAA"/>
    <w:rsid w:val="002B5E44"/>
    <w:rsid w:val="006C0A92"/>
    <w:rsid w:val="00706F6A"/>
    <w:rsid w:val="00A3322A"/>
    <w:rsid w:val="00CA2214"/>
    <w:rsid w:val="00DC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C59F2"/>
  </w:style>
  <w:style w:type="character" w:styleId="a4">
    <w:name w:val="Hyperlink"/>
    <w:basedOn w:val="a0"/>
    <w:uiPriority w:val="99"/>
    <w:semiHidden/>
    <w:unhideWhenUsed/>
    <w:rsid w:val="00DC59F2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C0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C0A9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C0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C0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397">
          <w:marLeft w:val="0"/>
          <w:marRight w:val="0"/>
          <w:marTop w:val="144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41">
          <w:marLeft w:val="0"/>
          <w:marRight w:val="0"/>
          <w:marTop w:val="144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306">
          <w:marLeft w:val="0"/>
          <w:marRight w:val="0"/>
          <w:marTop w:val="144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6987">
          <w:marLeft w:val="0"/>
          <w:marRight w:val="0"/>
          <w:marTop w:val="144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690">
          <w:marLeft w:val="0"/>
          <w:marRight w:val="0"/>
          <w:marTop w:val="144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5103">
          <w:marLeft w:val="0"/>
          <w:marRight w:val="0"/>
          <w:marTop w:val="144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0721">
          <w:marLeft w:val="0"/>
          <w:marRight w:val="0"/>
          <w:marTop w:val="144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zosoft.com/office/fileconvert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165EF-F06E-44B0-A36C-D091DA00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2016-04-05T02:12:00Z</cp:lastPrinted>
  <dcterms:created xsi:type="dcterms:W3CDTF">2016-04-05T02:14:00Z</dcterms:created>
  <dcterms:modified xsi:type="dcterms:W3CDTF">2016-04-05T02:14:00Z</dcterms:modified>
</cp:coreProperties>
</file>