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附表</w:t>
      </w:r>
      <w:r>
        <w:rPr>
          <w:rFonts w:ascii="宋体" w:hAnsi="宋体" w:cs="仿宋"/>
          <w:sz w:val="32"/>
          <w:szCs w:val="32"/>
        </w:rPr>
        <w:t>2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项目管理机构评审表</w:t>
      </w:r>
    </w:p>
    <w:tbl>
      <w:tblPr>
        <w:tblStyle w:val="5"/>
        <w:tblW w:w="14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49"/>
        <w:gridCol w:w="699"/>
        <w:gridCol w:w="1566"/>
        <w:gridCol w:w="832"/>
        <w:gridCol w:w="6766"/>
        <w:gridCol w:w="999"/>
        <w:gridCol w:w="10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41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评审因素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最高分值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评审标准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计分方式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数量和分值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加分制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最低分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优良信息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类似工程业绩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t>0-2</w:t>
            </w:r>
            <w:r>
              <w:rPr>
                <w:rFonts w:hint="eastAsia"/>
              </w:rPr>
              <w:t>个，每个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工程获奖情况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省优质园林绿化工程</w:t>
            </w:r>
            <w:r>
              <w:t>0-2</w:t>
            </w:r>
            <w:r>
              <w:rPr>
                <w:rFonts w:hint="eastAsia"/>
              </w:rPr>
              <w:t>个，每个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不良信息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不良行为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严重不良行为，每条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扣分制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一般不良行为，每条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信用评价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按常德市园林绿化企业信用评价办法规定确定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加分制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拟任项目负责人</w:t>
            </w: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不良行为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严重不良行为，每条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扣分制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一般不良行为，每条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现场答辩（如有）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阐述流畅、条理清晰、回答问题完整；现场答辩充分结合招标项目实际，具有较强的针对性。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加分制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阐述流畅、条理清晰、回答问题基本完整；现场答辩基本结合招标项目实际，具有一定的针对性。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阐述流畅、条理清晰、回答问题欠完整；现场答辩未能结合招标项目实际，缺乏针对性。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拟任技术负责人</w:t>
            </w: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不良行为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严重不良行为，每条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扣分制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一般不良行为，每条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320" w:lineRule="exact"/>
        <w:rPr>
          <w:rFonts w:hint="eastAsia"/>
        </w:rPr>
      </w:pPr>
      <w:r>
        <w:t xml:space="preserve">    </w:t>
      </w:r>
      <w:r>
        <w:rPr>
          <w:rFonts w:hint="eastAsia"/>
        </w:rPr>
        <w:t>注意：</w:t>
      </w:r>
      <w:r>
        <w:t>1.</w:t>
      </w:r>
      <w:r>
        <w:rPr>
          <w:rFonts w:hint="eastAsia"/>
        </w:rPr>
        <w:t>详细评审时使用。</w:t>
      </w:r>
      <w:r>
        <w:t>2.</w:t>
      </w:r>
      <w:r>
        <w:rPr>
          <w:rFonts w:hint="eastAsia"/>
        </w:rPr>
        <w:t>类似工程业绩考核期限</w:t>
      </w:r>
      <w:r>
        <w:t>108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天，自竣工验收资料中建设单位签字之日起至提交投标文件截止之日止。</w:t>
      </w:r>
      <w:r>
        <w:t>3.</w:t>
      </w:r>
      <w:r>
        <w:rPr>
          <w:rFonts w:hint="eastAsia"/>
        </w:rPr>
        <w:t>优良信息：评选结果公布的以表彰文件为准，省级、市州级奖项有效期</w:t>
      </w:r>
      <w:r>
        <w:t>360</w:t>
      </w:r>
      <w:r>
        <w:rPr>
          <w:rFonts w:hint="eastAsia"/>
        </w:rPr>
        <w:t>天，自相关表彰文件发布之日起至提交投标文件截止之日止。同一工程获取两个以上（含本数）表彰和奖励的，按其所获最高奖项计分。</w:t>
      </w:r>
      <w:r>
        <w:t>4.</w:t>
      </w:r>
      <w:r>
        <w:rPr>
          <w:rFonts w:hint="eastAsia"/>
        </w:rPr>
        <w:t>信用评价：园林绿化行政主管部门发布常德市园林绿化企业信用评价办法之前，均按满分计取。</w:t>
      </w:r>
      <w:r>
        <w:t>5.</w:t>
      </w:r>
      <w:r>
        <w:rPr>
          <w:rFonts w:hint="eastAsia"/>
        </w:rPr>
        <w:t>不良信息：①不良行为扣分有效期</w:t>
      </w:r>
      <w:r>
        <w:t>180</w:t>
      </w:r>
      <w:r>
        <w:rPr>
          <w:rFonts w:hint="eastAsia"/>
        </w:rPr>
        <w:t>天，省住建厅发布的，自公布之日起至提交投标文件截止之日止；②外省区市公布的不良行为不予扣分；③我市园林绿化行政主管部门发布的，自文件发布之日起至投标文件截止之日止。</w:t>
      </w:r>
      <w:r>
        <w:t>6.</w:t>
      </w:r>
      <w:r>
        <w:rPr>
          <w:rFonts w:hint="eastAsia"/>
        </w:rPr>
        <w:t>本表涉及“天”和“日”，不包含“当天”和“当日”。</w:t>
      </w:r>
    </w:p>
    <w:p>
      <w:bookmarkStart w:id="0" w:name="_GoBack"/>
      <w:bookmarkEnd w:id="0"/>
    </w:p>
    <w:sectPr>
      <w:pgSz w:w="16840" w:h="11907" w:orient="landscape"/>
      <w:pgMar w:top="1418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292D"/>
    <w:rsid w:val="59BE2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2019-11-19T01:05:00Z</dcterms:created>
  <dc:creator>樱木小麦</dc:creator>
  <cp:lastModifiedBy>樱木小麦</cp:lastModifiedBy>
  <dcterms:modified xsi:type="dcterms:W3CDTF">2019-11-19T01:05:52Z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