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334" w:rightChars="-159"/>
        <w:rPr>
          <w:rFonts w:ascii="黑体" w:hAnsi="黑体" w:eastAsia="黑体" w:cs="方正小标宋简体"/>
          <w:bCs/>
          <w:spacing w:val="-2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spacing w:val="-20"/>
          <w:sz w:val="32"/>
          <w:szCs w:val="32"/>
        </w:rPr>
        <w:t>附件</w:t>
      </w:r>
      <w:r>
        <w:rPr>
          <w:rFonts w:ascii="黑体" w:hAnsi="黑体" w:eastAsia="黑体" w:cs="方正小标宋简体"/>
          <w:bCs/>
          <w:spacing w:val="-20"/>
          <w:sz w:val="32"/>
          <w:szCs w:val="32"/>
        </w:rPr>
        <w:t>3</w:t>
      </w:r>
    </w:p>
    <w:p>
      <w:pPr>
        <w:widowControl/>
        <w:spacing w:line="600" w:lineRule="exact"/>
        <w:ind w:right="-334" w:rightChars="-159"/>
        <w:jc w:val="center"/>
        <w:rPr>
          <w:rFonts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农村危房改造工作考核标准</w:t>
      </w:r>
    </w:p>
    <w:tbl>
      <w:tblPr>
        <w:tblStyle w:val="2"/>
        <w:tblW w:w="998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0"/>
        <w:gridCol w:w="1253"/>
        <w:gridCol w:w="631"/>
        <w:gridCol w:w="3456"/>
        <w:gridCol w:w="398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考核内容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分值</w:t>
            </w:r>
          </w:p>
        </w:tc>
        <w:tc>
          <w:tcPr>
            <w:tcW w:w="3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计分办法（总分值</w:t>
            </w:r>
            <w:r>
              <w:rPr>
                <w:rFonts w:eastAsia="黑体"/>
                <w:bCs/>
                <w:szCs w:val="21"/>
              </w:rPr>
              <w:t>100</w:t>
            </w:r>
            <w:r>
              <w:rPr>
                <w:rFonts w:hint="eastAsia" w:eastAsia="黑体"/>
                <w:bCs/>
                <w:szCs w:val="21"/>
              </w:rPr>
              <w:t>分）</w:t>
            </w:r>
          </w:p>
        </w:tc>
        <w:tc>
          <w:tcPr>
            <w:tcW w:w="3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考核依据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57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目标任务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完成情况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3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、目标任务分解到乡镇（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分），落实到户（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、项目前期工作扎实；项目建设各项手续完善（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、按时间节点要求完成全年改造任务（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、每月及时上报进度报表（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分）。</w:t>
            </w:r>
          </w:p>
        </w:tc>
        <w:tc>
          <w:tcPr>
            <w:tcW w:w="3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、未及时报送任务分解表、花名册扣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、未按要求确定补助对象每户扣</w:t>
            </w:r>
            <w:r>
              <w:rPr>
                <w:szCs w:val="21"/>
              </w:rPr>
              <w:t>0.2</w:t>
            </w:r>
            <w:r>
              <w:rPr>
                <w:rFonts w:hint="eastAsia"/>
                <w:szCs w:val="21"/>
              </w:rPr>
              <w:t>分；未进行危房鉴定每户扣</w:t>
            </w:r>
            <w:r>
              <w:rPr>
                <w:szCs w:val="21"/>
              </w:rPr>
              <w:t>0.2</w:t>
            </w:r>
            <w:r>
              <w:rPr>
                <w:rFonts w:hint="eastAsia"/>
                <w:szCs w:val="21"/>
              </w:rPr>
              <w:t>分；未签订危改协议书每户扣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、年度考核时未完成年度目标总任务全扣；月度统计表未及时报送每次扣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工程质量、安全生产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、县级住建部门进行质安监检查（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、工程质量合格率</w:t>
            </w:r>
            <w:r>
              <w:rPr>
                <w:szCs w:val="21"/>
              </w:rPr>
              <w:t>100%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、不发生安全事故。</w:t>
            </w:r>
          </w:p>
        </w:tc>
        <w:tc>
          <w:tcPr>
            <w:tcW w:w="3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、凡未进行质安监检查，未形成监管台账的扣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、检查中房屋质量不合要求、基本配置不达标扣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、危改过程中及改造完成后发生安全事故的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分全扣。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6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资金保障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、中央和省补助资金及时拨付到危房改造对象（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、危房改造工程配套资金（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、改造经费有保障（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、危房改造资金使用管理规范（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分）。</w:t>
            </w:r>
          </w:p>
        </w:tc>
        <w:tc>
          <w:tcPr>
            <w:tcW w:w="3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、未按涉农补助资金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一卡通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发放到户每发现一次扣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分，未建立签字发放花名册扣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、除中央和省补助资金外，要求地方财政配套危房改造工程资金未落实的扣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、每月安排足额危改经费的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分全扣；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、危房改造资金使用管理未做到财政专户、集中管理、统一使用每发现一起扣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分，审计每发现一条问题线索并经核实确实有问题的每条扣</w:t>
            </w:r>
            <w:r>
              <w:rPr>
                <w:szCs w:val="21"/>
              </w:rPr>
              <w:t>0.1</w:t>
            </w:r>
            <w:r>
              <w:rPr>
                <w:rFonts w:hint="eastAsia"/>
                <w:szCs w:val="21"/>
              </w:rPr>
              <w:t>分，扣完为止。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基础管理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工作情况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、及时填报农村危房改造网上信息系统数据（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、建立农村危房改造工作公示、公布制度并落实（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、加强宣传，及时总结，汇编全年危改工作资料（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、一户一档资料齐全（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分）。</w:t>
            </w:r>
          </w:p>
        </w:tc>
        <w:tc>
          <w:tcPr>
            <w:tcW w:w="3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、每月进度报表与网上数据不一致的，每月扣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、未在县、乡镇网站和乡镇、村级公示栏公布花名册的，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分全扣；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、年度危改汇编资料报送不及时的，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分全扣；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、未按《指导意见》和《验收指南》制做一户一档资料的扣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分，未及时更新一户一档资料内容的扣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历年危改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情况清理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3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全面摸清</w:t>
            </w:r>
            <w:r>
              <w:rPr>
                <w:szCs w:val="21"/>
              </w:rPr>
              <w:t>2013-2018</w:t>
            </w:r>
            <w:r>
              <w:rPr>
                <w:rFonts w:hint="eastAsia"/>
                <w:szCs w:val="21"/>
              </w:rPr>
              <w:t>年农村危改改造花名册（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全面掌握历年已脱贫农户房屋安全状况（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分）；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全面建立历年审计问题整改台账（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分）。</w:t>
            </w:r>
          </w:p>
        </w:tc>
        <w:tc>
          <w:tcPr>
            <w:tcW w:w="3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网上数据与纸质版提供的历年数据不一致的，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分全扣；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未按要求建立历年已脱贫农户房屋安全状况台账的，每少一户扣</w:t>
            </w:r>
            <w:r>
              <w:rPr>
                <w:szCs w:val="21"/>
              </w:rPr>
              <w:t>0.1</w:t>
            </w:r>
            <w:r>
              <w:rPr>
                <w:rFonts w:hint="eastAsia"/>
                <w:szCs w:val="21"/>
              </w:rPr>
              <w:t>分，扣完为止；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审计问题整改台账未建立、资料不全的每期扣</w:t>
            </w:r>
            <w:r>
              <w:rPr>
                <w:szCs w:val="21"/>
              </w:rPr>
              <w:t>0.1</w:t>
            </w:r>
            <w:r>
              <w:rPr>
                <w:rFonts w:hint="eastAsia"/>
                <w:szCs w:val="21"/>
              </w:rPr>
              <w:t>分，扣完为止。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A2A659"/>
    <w:multiLevelType w:val="singleLevel"/>
    <w:tmpl w:val="A7A2A659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A886AD8E"/>
    <w:multiLevelType w:val="singleLevel"/>
    <w:tmpl w:val="A886AD8E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35FEB"/>
    <w:rsid w:val="26B3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2019-12-17T06:53:00Z</dcterms:created>
  <dc:creator>Wang王小瑶</dc:creator>
  <cp:lastModifiedBy>Wang王小瑶</cp:lastModifiedBy>
  <dcterms:modified xsi:type="dcterms:W3CDTF">2019-12-17T06:53:36Z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