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34" w:rightChars="-159"/>
        <w:rPr>
          <w:rFonts w:ascii="黑体" w:hAnsi="黑体" w:eastAsia="黑体" w:cs="方正小标宋简体"/>
          <w:bCs/>
          <w:spacing w:val="-2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pacing w:val="-20"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pacing w:val="-20"/>
          <w:sz w:val="32"/>
          <w:szCs w:val="32"/>
        </w:rPr>
        <w:t>5</w:t>
      </w:r>
    </w:p>
    <w:p>
      <w:pPr>
        <w:widowControl/>
        <w:spacing w:line="60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城市双修工作考核标准</w:t>
      </w:r>
    </w:p>
    <w:tbl>
      <w:tblPr>
        <w:tblStyle w:val="3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5"/>
        <w:gridCol w:w="866"/>
        <w:gridCol w:w="4870"/>
        <w:gridCol w:w="693"/>
        <w:gridCol w:w="1065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序号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内容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指标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考核内容和计分办法（总分值</w:t>
            </w:r>
            <w:r>
              <w:rPr>
                <w:rFonts w:eastAsia="黑体"/>
                <w:bCs/>
                <w:szCs w:val="21"/>
              </w:rPr>
              <w:t>100</w:t>
            </w:r>
            <w:r>
              <w:rPr>
                <w:rFonts w:hint="eastAsia" w:eastAsia="黑体"/>
                <w:bCs/>
                <w:szCs w:val="21"/>
              </w:rPr>
              <w:t>分）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分值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考核方式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62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城市双修（</w:t>
            </w:r>
            <w:r>
              <w:rPr>
                <w:szCs w:val="21"/>
              </w:rPr>
              <w:t>60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66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机制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日常工作配合协作积极主动，数据调度、材料上报及时准确，漏报、错报、迟报一次扣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6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每年至少召开一次城市双修工作会议，研究部署和推动城市双修工作，政府召开计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分，主管部门召开计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有工作方案（无方案不得分），明确责任单位和责任人（计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分），建立量化评估指标体系（计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方案、政策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制定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城市双修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实施方案，并明确逐年工作目标（无方案不得分，无分年度目标扣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分）；相关政策出台情况（查看监督检查、工作通报等文件，未开展一项扣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6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年度任务完成情况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国家、省、市明确的年度任务项目完成情况：主要包括：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黑臭水体整治；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污水处理厂提标改造；</w:t>
            </w: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污水处理厂新建；</w:t>
            </w: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存量垃圾场治理；</w:t>
            </w: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焚烧发电厂建设；</w:t>
            </w: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建筑节能、绿色建筑及装配式建筑推进等相关领域（上级明确的工作任务未完成的，该项不得分，完成当年度具体工作任务得满分，否则按完成比例得分，若无任务则得平均分）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62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目标指标完成情况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《湖南省城市双修三年行动计划（</w:t>
            </w:r>
            <w:r>
              <w:rPr>
                <w:szCs w:val="21"/>
              </w:rPr>
              <w:t>2018-2020</w:t>
            </w:r>
            <w:r>
              <w:rPr>
                <w:rFonts w:hint="eastAsia"/>
                <w:szCs w:val="21"/>
              </w:rPr>
              <w:t>）》明确的各项指标完成情况，主要包括污水处理率、污泥无害化处理率、垃圾无害化处理率、城市建成区平均路网密度、城市建成区绿地率、人均公园绿地面积等（计算指标进展和完成情况，指标进展严重滞后的每项扣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分，扣完为止，考核年未完成的指标一项扣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分，扣完为止）。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城镇统计（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报送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城镇统计专人负责，数据调度、材料上报及时准确（含日常工作资料和数据上报），漏报、错报、迟报一次扣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工作整改（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整改</w:t>
            </w: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国家、省、市巡查检查、跟踪审计、督导考核中发现问题整改落实到位的计</w:t>
            </w:r>
            <w:r>
              <w:rPr>
                <w:szCs w:val="21"/>
              </w:rPr>
              <w:t xml:space="preserve">4 </w:t>
            </w:r>
            <w:r>
              <w:rPr>
                <w:rFonts w:hint="eastAsia"/>
                <w:szCs w:val="21"/>
              </w:rPr>
              <w:t>分，凡某项次未按要求整改到位的扣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加分项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4870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年内被国家、省领导书面批示肯定的一次加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分，被市领导批示书面肯定的一次加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获得国家、省荣誉及表彰的一项加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工作经验被中央、省主要新闻媒体宣传报道或国务院、省委、省政府信息专刊刊登一次加</w:t>
            </w: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分，被市内主要新闻媒体或市委、市政府有关信息专刊刊登一次加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承接、参与国家、省级调研课题或政策文件制定的一次加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分，承接、参与市级调研课题或政策文件制定的一次加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加分可累计，年内加分最多不超过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</w:tbl>
    <w:p>
      <w:r>
        <w:rPr>
          <w:rFonts w:eastAsia="方正小标宋简体"/>
          <w:sz w:val="36"/>
          <w:szCs w:val="36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057D2"/>
    <w:rsid w:val="5A20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2019-12-17T06:54:00Z</dcterms:created>
  <dc:creator>Wang王小瑶</dc:creator>
  <cp:lastModifiedBy>Wang王小瑶</cp:lastModifiedBy>
  <dcterms:modified xsi:type="dcterms:W3CDTF">2019-12-17T06:54:55Z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