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XSpec="center" w:tblpY="1801"/>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4"/>
        <w:gridCol w:w="2304"/>
        <w:gridCol w:w="5813"/>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8" w:type="dxa"/>
            <w:noWrap w:val="0"/>
            <w:vAlign w:val="center"/>
          </w:tcPr>
          <w:p>
            <w:pPr>
              <w:widowControl/>
              <w:adjustRightInd w:val="0"/>
              <w:snapToGrid w:val="0"/>
              <w:jc w:val="center"/>
              <w:rPr>
                <w:rFonts w:ascii="仿宋_GB2312" w:hAnsi="黑体" w:cs="宋体"/>
                <w:kern w:val="0"/>
                <w:sz w:val="28"/>
                <w:szCs w:val="28"/>
              </w:rPr>
            </w:pPr>
            <w:r>
              <w:rPr>
                <w:rFonts w:hint="eastAsia" w:ascii="仿宋_GB2312" w:hAnsi="黑体" w:cs="宋体"/>
                <w:kern w:val="0"/>
                <w:sz w:val="28"/>
                <w:szCs w:val="28"/>
              </w:rPr>
              <w:t>序号</w:t>
            </w:r>
          </w:p>
        </w:tc>
        <w:tc>
          <w:tcPr>
            <w:tcW w:w="1984" w:type="dxa"/>
            <w:noWrap w:val="0"/>
            <w:vAlign w:val="center"/>
          </w:tcPr>
          <w:p>
            <w:pPr>
              <w:widowControl/>
              <w:adjustRightInd w:val="0"/>
              <w:snapToGrid w:val="0"/>
              <w:jc w:val="center"/>
              <w:rPr>
                <w:rFonts w:ascii="仿宋_GB2312" w:hAnsi="黑体" w:cs="宋体"/>
                <w:kern w:val="0"/>
                <w:sz w:val="28"/>
                <w:szCs w:val="28"/>
              </w:rPr>
            </w:pPr>
            <w:r>
              <w:rPr>
                <w:rFonts w:hint="eastAsia" w:ascii="仿宋_GB2312" w:hAnsi="黑体" w:cs="宋体"/>
                <w:kern w:val="0"/>
                <w:sz w:val="28"/>
                <w:szCs w:val="28"/>
              </w:rPr>
              <w:t>顽瘴痼疾类型</w:t>
            </w:r>
          </w:p>
        </w:tc>
        <w:tc>
          <w:tcPr>
            <w:tcW w:w="2304" w:type="dxa"/>
            <w:noWrap w:val="0"/>
            <w:vAlign w:val="center"/>
          </w:tcPr>
          <w:p>
            <w:pPr>
              <w:widowControl/>
              <w:adjustRightInd w:val="0"/>
              <w:snapToGrid w:val="0"/>
              <w:jc w:val="center"/>
              <w:rPr>
                <w:rFonts w:ascii="仿宋_GB2312" w:hAnsi="黑体" w:cs="宋体"/>
                <w:kern w:val="0"/>
                <w:sz w:val="28"/>
                <w:szCs w:val="28"/>
              </w:rPr>
            </w:pPr>
            <w:r>
              <w:rPr>
                <w:rFonts w:hint="eastAsia" w:ascii="仿宋_GB2312" w:hAnsi="黑体" w:cs="宋体"/>
                <w:kern w:val="0"/>
                <w:sz w:val="28"/>
                <w:szCs w:val="28"/>
              </w:rPr>
              <w:t>责任单位</w:t>
            </w:r>
          </w:p>
        </w:tc>
        <w:tc>
          <w:tcPr>
            <w:tcW w:w="5813" w:type="dxa"/>
            <w:noWrap w:val="0"/>
            <w:vAlign w:val="center"/>
          </w:tcPr>
          <w:p>
            <w:pPr>
              <w:widowControl/>
              <w:adjustRightInd w:val="0"/>
              <w:snapToGrid w:val="0"/>
              <w:jc w:val="center"/>
              <w:rPr>
                <w:rFonts w:ascii="仿宋_GB2312" w:hAnsi="黑体" w:cs="宋体"/>
                <w:kern w:val="0"/>
                <w:sz w:val="28"/>
                <w:szCs w:val="28"/>
              </w:rPr>
            </w:pPr>
            <w:r>
              <w:rPr>
                <w:rFonts w:hint="eastAsia" w:ascii="仿宋_GB2312" w:hAnsi="黑体" w:cs="宋体"/>
                <w:kern w:val="0"/>
                <w:sz w:val="28"/>
                <w:szCs w:val="28"/>
              </w:rPr>
              <w:t>整治措施</w:t>
            </w:r>
          </w:p>
        </w:tc>
        <w:tc>
          <w:tcPr>
            <w:tcW w:w="4016" w:type="dxa"/>
            <w:noWrap w:val="0"/>
            <w:vAlign w:val="center"/>
          </w:tcPr>
          <w:p>
            <w:pPr>
              <w:widowControl/>
              <w:adjustRightInd w:val="0"/>
              <w:snapToGrid w:val="0"/>
              <w:jc w:val="center"/>
              <w:rPr>
                <w:rFonts w:ascii="仿宋_GB2312" w:hAnsi="黑体" w:cs="宋体"/>
                <w:kern w:val="0"/>
                <w:sz w:val="28"/>
                <w:szCs w:val="28"/>
              </w:rPr>
            </w:pPr>
            <w:r>
              <w:rPr>
                <w:rFonts w:hint="eastAsia" w:ascii="仿宋_GB2312" w:hAnsi="黑体" w:cs="宋体"/>
                <w:kern w:val="0"/>
                <w:sz w:val="28"/>
                <w:szCs w:val="28"/>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1</w:t>
            </w:r>
          </w:p>
        </w:tc>
        <w:tc>
          <w:tcPr>
            <w:tcW w:w="1984" w:type="dxa"/>
            <w:vMerge w:val="restart"/>
            <w:noWrap w:val="0"/>
            <w:vAlign w:val="center"/>
          </w:tcPr>
          <w:p>
            <w:pPr>
              <w:widowControl/>
              <w:adjustRightInd w:val="0"/>
              <w:snapToGrid w:val="0"/>
              <w:jc w:val="center"/>
              <w:rPr>
                <w:rFonts w:ascii="仿宋_GB2312" w:hAnsi="黑体" w:cs="宋体"/>
                <w:kern w:val="0"/>
                <w:sz w:val="24"/>
              </w:rPr>
            </w:pPr>
            <w:r>
              <w:rPr>
                <w:rFonts w:hint="eastAsia" w:ascii="仿宋_GB2312" w:hAnsi="黑体" w:cs="宋体"/>
                <w:kern w:val="0"/>
                <w:sz w:val="24"/>
              </w:rPr>
              <w:t>建筑施工工地车辆违法违规现象普遍</w:t>
            </w: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区县市住建局、市质安站</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严管建筑施工单位，对租赁、使用无牌无证、非法改、拼装、报废车辆从事建筑材料运输、人货混装以及超限超载车辆驶出建筑施工工地的，一律追究建筑施工单位责任。</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违规建筑施工单位责任追究比率达到</w:t>
            </w:r>
            <w:r>
              <w:rPr>
                <w:rFonts w:ascii="仿宋_GB2312" w:hAnsi="宋体" w:cs="宋体"/>
                <w:kern w:val="0"/>
                <w:sz w:val="24"/>
              </w:rPr>
              <w:t>100%</w:t>
            </w:r>
            <w:r>
              <w:rPr>
                <w:rFonts w:hint="eastAsia" w:ascii="仿宋_GB2312"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2</w:t>
            </w:r>
          </w:p>
        </w:tc>
        <w:tc>
          <w:tcPr>
            <w:tcW w:w="1984" w:type="dxa"/>
            <w:vMerge w:val="continue"/>
            <w:noWrap w:val="0"/>
            <w:vAlign w:val="center"/>
          </w:tcPr>
          <w:p>
            <w:pPr>
              <w:widowControl/>
              <w:adjustRightInd w:val="0"/>
              <w:snapToGrid w:val="0"/>
              <w:jc w:val="center"/>
              <w:rPr>
                <w:rFonts w:ascii="仿宋_GB2312" w:hAnsi="黑体" w:cs="宋体"/>
                <w:kern w:val="0"/>
                <w:sz w:val="24"/>
              </w:rPr>
            </w:pP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区县市住建局、市质安站</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严管建筑施工单位，严禁城市建筑垃圾运输车辆超限超载驶出建筑施工工地。</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建筑施工工地城市建筑垃圾运输管理超限超载率控制在</w:t>
            </w:r>
            <w:r>
              <w:rPr>
                <w:rFonts w:ascii="仿宋_GB2312" w:hAnsi="宋体" w:cs="宋体"/>
                <w:kern w:val="0"/>
                <w:sz w:val="24"/>
              </w:rPr>
              <w:t>1%</w:t>
            </w:r>
            <w:r>
              <w:rPr>
                <w:rFonts w:hint="eastAsia" w:ascii="仿宋_GB2312" w:hAnsi="宋体" w:cs="宋体"/>
                <w:kern w:val="0"/>
                <w:sz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3</w:t>
            </w:r>
          </w:p>
        </w:tc>
        <w:tc>
          <w:tcPr>
            <w:tcW w:w="1984" w:type="dxa"/>
            <w:noWrap w:val="0"/>
            <w:vAlign w:val="center"/>
          </w:tcPr>
          <w:p>
            <w:pPr>
              <w:widowControl/>
              <w:adjustRightInd w:val="0"/>
              <w:snapToGrid w:val="0"/>
              <w:jc w:val="center"/>
              <w:rPr>
                <w:rFonts w:ascii="仿宋_GB2312" w:hAnsi="黑体" w:cs="宋体"/>
                <w:kern w:val="0"/>
                <w:sz w:val="24"/>
              </w:rPr>
            </w:pPr>
            <w:r>
              <w:rPr>
                <w:rFonts w:hint="eastAsia" w:ascii="仿宋_GB2312" w:hAnsi="黑体" w:cs="宋体"/>
                <w:kern w:val="0"/>
                <w:sz w:val="24"/>
              </w:rPr>
              <w:t>城市桥梁设计缺陷</w:t>
            </w: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区县市住建局、市桥管处</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加强对在建、拟建城市道路桥梁进行安全评估工作，综合考虑城市道路桥梁工程设计中可能存在的安全问题、风险问题、质量问题。对已建城市道路桥梁开展集中排查，对因设计考虑不周而存在安全隐患的进行全面检测评估，并形成台账。</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对照隐患台账，</w:t>
            </w:r>
            <w:r>
              <w:rPr>
                <w:rFonts w:ascii="仿宋_GB2312" w:hAnsi="宋体" w:cs="宋体"/>
                <w:kern w:val="0"/>
                <w:sz w:val="24"/>
              </w:rPr>
              <w:t>2020</w:t>
            </w:r>
            <w:r>
              <w:rPr>
                <w:rFonts w:hint="eastAsia" w:ascii="仿宋_GB2312" w:hAnsi="宋体" w:cs="宋体"/>
                <w:kern w:val="0"/>
                <w:sz w:val="24"/>
              </w:rPr>
              <w:t>年</w:t>
            </w:r>
            <w:r>
              <w:rPr>
                <w:rFonts w:ascii="仿宋_GB2312" w:hAnsi="宋体" w:cs="宋体"/>
                <w:kern w:val="0"/>
                <w:sz w:val="24"/>
              </w:rPr>
              <w:t>10</w:t>
            </w:r>
            <w:r>
              <w:rPr>
                <w:rFonts w:hint="eastAsia" w:ascii="仿宋_GB2312" w:hAnsi="宋体" w:cs="宋体"/>
                <w:kern w:val="0"/>
                <w:sz w:val="24"/>
              </w:rPr>
              <w:t>月</w:t>
            </w:r>
            <w:r>
              <w:rPr>
                <w:rFonts w:ascii="仿宋_GB2312" w:hAnsi="宋体" w:cs="宋体"/>
                <w:kern w:val="0"/>
                <w:sz w:val="24"/>
              </w:rPr>
              <w:t>31</w:t>
            </w:r>
            <w:r>
              <w:rPr>
                <w:rFonts w:hint="eastAsia" w:ascii="仿宋_GB2312" w:hAnsi="宋体" w:cs="宋体"/>
                <w:kern w:val="0"/>
                <w:sz w:val="24"/>
              </w:rPr>
              <w:t>日前，</w:t>
            </w:r>
            <w:r>
              <w:rPr>
                <w:rFonts w:ascii="仿宋_GB2312" w:hAnsi="宋体" w:cs="宋体"/>
                <w:kern w:val="0"/>
                <w:sz w:val="24"/>
              </w:rPr>
              <w:t>90%</w:t>
            </w:r>
            <w:r>
              <w:rPr>
                <w:rFonts w:hint="eastAsia" w:ascii="仿宋_GB2312" w:hAnsi="宋体" w:cs="宋体"/>
                <w:kern w:val="0"/>
                <w:sz w:val="24"/>
              </w:rPr>
              <w:t>的城市道路桥梁设计缺陷任务完成整治。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4</w:t>
            </w:r>
          </w:p>
        </w:tc>
        <w:tc>
          <w:tcPr>
            <w:tcW w:w="1984" w:type="dxa"/>
            <w:noWrap w:val="0"/>
            <w:vAlign w:val="center"/>
          </w:tcPr>
          <w:p>
            <w:pPr>
              <w:widowControl/>
              <w:adjustRightInd w:val="0"/>
              <w:snapToGrid w:val="0"/>
              <w:jc w:val="center"/>
              <w:rPr>
                <w:rFonts w:ascii="仿宋_GB2312" w:hAnsi="黑体" w:cs="宋体"/>
                <w:kern w:val="0"/>
                <w:sz w:val="24"/>
              </w:rPr>
            </w:pPr>
            <w:r>
              <w:rPr>
                <w:rFonts w:hint="eastAsia" w:ascii="仿宋_GB2312" w:hAnsi="黑体" w:cs="宋体"/>
                <w:kern w:val="0"/>
                <w:sz w:val="24"/>
              </w:rPr>
              <w:t>城市桥梁施工缺陷</w:t>
            </w: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区县市住建局、市质安站、市桥管处</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加强对在建城市道路桥梁的施工质量监督，开展施工缺陷集中排查整治，综合考虑城市道路桥梁工程施工过程中可能存在施工缺陷而导致的安全问题、风险问题、质量问题，建立台账，督促及时整改。重点对设计缺陷集中排查形成的整治台账项目加强施工质量监督。</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对照隐患台账，</w:t>
            </w:r>
            <w:r>
              <w:rPr>
                <w:rFonts w:ascii="仿宋_GB2312" w:hAnsi="宋体" w:cs="宋体"/>
                <w:kern w:val="0"/>
                <w:sz w:val="24"/>
              </w:rPr>
              <w:t>2020</w:t>
            </w:r>
            <w:r>
              <w:rPr>
                <w:rFonts w:hint="eastAsia" w:ascii="仿宋_GB2312" w:hAnsi="宋体" w:cs="宋体"/>
                <w:kern w:val="0"/>
                <w:sz w:val="24"/>
              </w:rPr>
              <w:t>年</w:t>
            </w:r>
            <w:r>
              <w:rPr>
                <w:rFonts w:ascii="仿宋_GB2312" w:hAnsi="宋体" w:cs="宋体"/>
                <w:kern w:val="0"/>
                <w:sz w:val="24"/>
              </w:rPr>
              <w:t>10</w:t>
            </w:r>
            <w:r>
              <w:rPr>
                <w:rFonts w:hint="eastAsia" w:ascii="仿宋_GB2312" w:hAnsi="宋体" w:cs="宋体"/>
                <w:kern w:val="0"/>
                <w:sz w:val="24"/>
              </w:rPr>
              <w:t>月</w:t>
            </w:r>
            <w:r>
              <w:rPr>
                <w:rFonts w:ascii="仿宋_GB2312" w:hAnsi="宋体" w:cs="宋体"/>
                <w:kern w:val="0"/>
                <w:sz w:val="24"/>
              </w:rPr>
              <w:t>31</w:t>
            </w:r>
            <w:r>
              <w:rPr>
                <w:rFonts w:hint="eastAsia" w:ascii="仿宋_GB2312" w:hAnsi="宋体" w:cs="宋体"/>
                <w:kern w:val="0"/>
                <w:sz w:val="24"/>
              </w:rPr>
              <w:t>日前，</w:t>
            </w:r>
            <w:r>
              <w:rPr>
                <w:rFonts w:ascii="仿宋_GB2312" w:hAnsi="宋体" w:cs="宋体"/>
                <w:kern w:val="0"/>
                <w:sz w:val="24"/>
              </w:rPr>
              <w:t>90%</w:t>
            </w:r>
            <w:r>
              <w:rPr>
                <w:rFonts w:hint="eastAsia" w:ascii="仿宋_GB2312" w:hAnsi="宋体" w:cs="宋体"/>
                <w:kern w:val="0"/>
                <w:sz w:val="24"/>
              </w:rPr>
              <w:t>的城市道路桥梁施工缺陷任务完成整治。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5</w:t>
            </w:r>
          </w:p>
        </w:tc>
        <w:tc>
          <w:tcPr>
            <w:tcW w:w="1984" w:type="dxa"/>
            <w:noWrap w:val="0"/>
            <w:vAlign w:val="center"/>
          </w:tcPr>
          <w:p>
            <w:pPr>
              <w:widowControl/>
              <w:adjustRightInd w:val="0"/>
              <w:snapToGrid w:val="0"/>
              <w:jc w:val="center"/>
              <w:rPr>
                <w:rFonts w:ascii="仿宋_GB2312" w:hAnsi="黑体" w:cs="宋体"/>
                <w:kern w:val="0"/>
                <w:sz w:val="24"/>
              </w:rPr>
            </w:pPr>
            <w:r>
              <w:rPr>
                <w:rFonts w:hint="eastAsia" w:ascii="仿宋_GB2312" w:hAnsi="黑体" w:cs="宋体"/>
                <w:kern w:val="0"/>
                <w:sz w:val="24"/>
              </w:rPr>
              <w:t>城市桥梁附属设施不完备</w:t>
            </w: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区县市住建局、市桥管处</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城市桥梁交通安全附属设施和标志标识完善率达到</w:t>
            </w:r>
            <w:r>
              <w:rPr>
                <w:rFonts w:ascii="仿宋_GB2312" w:hAnsi="宋体" w:cs="宋体"/>
                <w:kern w:val="0"/>
                <w:sz w:val="24"/>
              </w:rPr>
              <w:t>100%</w:t>
            </w:r>
            <w:r>
              <w:rPr>
                <w:rFonts w:hint="eastAsia" w:ascii="仿宋_GB2312" w:hAnsi="宋体" w:cs="宋体"/>
                <w:kern w:val="0"/>
                <w:sz w:val="24"/>
              </w:rPr>
              <w:t>。</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城市桥梁交通安全附属设施和标志标识完善率达到</w:t>
            </w:r>
            <w:r>
              <w:rPr>
                <w:rFonts w:ascii="仿宋_GB2312" w:hAnsi="宋体" w:cs="宋体"/>
                <w:kern w:val="0"/>
                <w:sz w:val="24"/>
              </w:rPr>
              <w:t>100%</w:t>
            </w:r>
            <w:r>
              <w:rPr>
                <w:rFonts w:hint="eastAsia" w:ascii="仿宋_GB2312"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6</w:t>
            </w:r>
          </w:p>
        </w:tc>
        <w:tc>
          <w:tcPr>
            <w:tcW w:w="1984" w:type="dxa"/>
            <w:vMerge w:val="restart"/>
            <w:noWrap w:val="0"/>
            <w:vAlign w:val="center"/>
          </w:tcPr>
          <w:p>
            <w:pPr>
              <w:widowControl/>
              <w:adjustRightInd w:val="0"/>
              <w:snapToGrid w:val="0"/>
              <w:jc w:val="center"/>
              <w:rPr>
                <w:rFonts w:ascii="仿宋_GB2312" w:hAnsi="黑体" w:cs="宋体"/>
                <w:kern w:val="0"/>
                <w:sz w:val="24"/>
              </w:rPr>
            </w:pPr>
            <w:r>
              <w:rPr>
                <w:rFonts w:hint="eastAsia" w:ascii="仿宋_GB2312" w:hAnsi="黑体" w:cs="宋体"/>
                <w:kern w:val="0"/>
                <w:sz w:val="24"/>
              </w:rPr>
              <w:t>风险路段</w:t>
            </w:r>
            <w:r>
              <w:rPr>
                <w:rFonts w:ascii="仿宋_GB2312" w:hAnsi="黑体" w:cs="宋体"/>
                <w:kern w:val="0"/>
                <w:sz w:val="24"/>
              </w:rPr>
              <w:br w:type="textWrapping"/>
            </w:r>
            <w:r>
              <w:rPr>
                <w:rFonts w:hint="eastAsia" w:ascii="仿宋_GB2312" w:hAnsi="黑体" w:cs="宋体"/>
                <w:kern w:val="0"/>
                <w:sz w:val="24"/>
              </w:rPr>
              <w:t>问题较多</w:t>
            </w: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w:t>
            </w:r>
            <w:r>
              <w:rPr>
                <w:rFonts w:hint="eastAsia" w:ascii="仿宋_GB2312" w:hAnsi="宋体" w:cs="宋体"/>
                <w:color w:val="FF0000"/>
                <w:kern w:val="0"/>
                <w:sz w:val="24"/>
              </w:rPr>
              <w:t>市海绵城市建设服务中心</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组织对城市道路开展一次集中排查，查找事故多发以及高风险隐患点段。</w:t>
            </w:r>
          </w:p>
        </w:tc>
        <w:tc>
          <w:tcPr>
            <w:tcW w:w="4016" w:type="dxa"/>
            <w:noWrap w:val="0"/>
            <w:vAlign w:val="center"/>
          </w:tcPr>
          <w:p>
            <w:pPr>
              <w:widowControl/>
              <w:adjustRightInd w:val="0"/>
              <w:snapToGrid w:val="0"/>
              <w:jc w:val="left"/>
              <w:rPr>
                <w:rFonts w:ascii="仿宋_GB2312" w:hAnsi="宋体" w:cs="宋体"/>
                <w:kern w:val="0"/>
                <w:sz w:val="24"/>
              </w:rPr>
            </w:pPr>
            <w:r>
              <w:rPr>
                <w:rFonts w:ascii="仿宋_GB2312" w:hAnsi="宋体" w:cs="宋体"/>
                <w:kern w:val="0"/>
                <w:sz w:val="24"/>
              </w:rPr>
              <w:t>2020</w:t>
            </w:r>
            <w:r>
              <w:rPr>
                <w:rFonts w:hint="eastAsia" w:ascii="仿宋_GB2312" w:hAnsi="宋体" w:cs="宋体"/>
                <w:kern w:val="0"/>
                <w:sz w:val="24"/>
              </w:rPr>
              <w:t>年</w:t>
            </w:r>
            <w:r>
              <w:rPr>
                <w:rFonts w:ascii="仿宋_GB2312" w:hAnsi="宋体" w:cs="宋体"/>
                <w:kern w:val="0"/>
                <w:sz w:val="24"/>
              </w:rPr>
              <w:t>1</w:t>
            </w:r>
            <w:r>
              <w:rPr>
                <w:rFonts w:hint="eastAsia" w:ascii="仿宋_GB2312" w:hAnsi="宋体" w:cs="宋体"/>
                <w:kern w:val="0"/>
                <w:sz w:val="24"/>
              </w:rPr>
              <w:t>月底前，上报隐患台账。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28" w:type="dxa"/>
            <w:noWrap w:val="0"/>
            <w:vAlign w:val="center"/>
          </w:tcPr>
          <w:p>
            <w:pPr>
              <w:widowControl/>
              <w:adjustRightInd w:val="0"/>
              <w:snapToGrid w:val="0"/>
              <w:jc w:val="center"/>
              <w:rPr>
                <w:rFonts w:ascii="仿宋_GB2312" w:hAnsi="黑体" w:cs="宋体"/>
                <w:kern w:val="0"/>
                <w:sz w:val="24"/>
              </w:rPr>
            </w:pPr>
            <w:r>
              <w:rPr>
                <w:rFonts w:ascii="仿宋_GB2312" w:hAnsi="黑体" w:cs="宋体"/>
                <w:kern w:val="0"/>
                <w:sz w:val="24"/>
              </w:rPr>
              <w:t>7</w:t>
            </w:r>
          </w:p>
        </w:tc>
        <w:tc>
          <w:tcPr>
            <w:tcW w:w="1984" w:type="dxa"/>
            <w:vMerge w:val="continue"/>
            <w:noWrap w:val="0"/>
            <w:vAlign w:val="center"/>
          </w:tcPr>
          <w:p>
            <w:pPr>
              <w:widowControl/>
              <w:adjustRightInd w:val="0"/>
              <w:snapToGrid w:val="0"/>
              <w:jc w:val="center"/>
              <w:rPr>
                <w:rFonts w:ascii="仿宋_GB2312" w:hAnsi="黑体" w:cs="宋体"/>
                <w:kern w:val="0"/>
                <w:sz w:val="24"/>
              </w:rPr>
            </w:pPr>
          </w:p>
        </w:tc>
        <w:tc>
          <w:tcPr>
            <w:tcW w:w="2304" w:type="dxa"/>
            <w:noWrap w:val="0"/>
            <w:vAlign w:val="center"/>
          </w:tcPr>
          <w:p>
            <w:pPr>
              <w:widowControl/>
              <w:adjustRightInd w:val="0"/>
              <w:snapToGrid w:val="0"/>
              <w:jc w:val="center"/>
              <w:rPr>
                <w:rFonts w:ascii="仿宋_GB2312" w:hAnsi="宋体" w:cs="宋体"/>
                <w:kern w:val="0"/>
                <w:sz w:val="24"/>
              </w:rPr>
            </w:pPr>
            <w:r>
              <w:rPr>
                <w:rFonts w:hint="eastAsia" w:ascii="仿宋_GB2312" w:hAnsi="宋体" w:cs="宋体"/>
                <w:kern w:val="0"/>
                <w:sz w:val="24"/>
              </w:rPr>
              <w:t>区县市住建局、</w:t>
            </w:r>
            <w:r>
              <w:rPr>
                <w:rFonts w:hint="eastAsia" w:ascii="仿宋_GB2312" w:hAnsi="宋体" w:cs="宋体"/>
                <w:color w:val="FF0000"/>
                <w:kern w:val="0"/>
                <w:sz w:val="24"/>
              </w:rPr>
              <w:t>市海绵城市建设服务中心、</w:t>
            </w:r>
            <w:r>
              <w:rPr>
                <w:rFonts w:hint="eastAsia" w:ascii="仿宋_GB2312" w:hAnsi="宋体" w:cs="宋体"/>
                <w:kern w:val="0"/>
                <w:sz w:val="24"/>
              </w:rPr>
              <w:t>市桥管处</w:t>
            </w:r>
          </w:p>
        </w:tc>
        <w:tc>
          <w:tcPr>
            <w:tcW w:w="5813"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对照隐患台账，完成城市道路桥梁事故多发、高风险路段、桥梁的治理任务。</w:t>
            </w:r>
          </w:p>
        </w:tc>
        <w:tc>
          <w:tcPr>
            <w:tcW w:w="4016" w:type="dxa"/>
            <w:noWrap w:val="0"/>
            <w:vAlign w:val="center"/>
          </w:tcPr>
          <w:p>
            <w:pPr>
              <w:widowControl/>
              <w:adjustRightInd w:val="0"/>
              <w:snapToGrid w:val="0"/>
              <w:jc w:val="left"/>
              <w:rPr>
                <w:rFonts w:ascii="仿宋_GB2312" w:hAnsi="宋体" w:cs="宋体"/>
                <w:kern w:val="0"/>
                <w:sz w:val="24"/>
              </w:rPr>
            </w:pPr>
            <w:r>
              <w:rPr>
                <w:rFonts w:hint="eastAsia" w:ascii="仿宋_GB2312" w:hAnsi="宋体" w:cs="宋体"/>
                <w:kern w:val="0"/>
                <w:sz w:val="24"/>
              </w:rPr>
              <w:t>截至</w:t>
            </w:r>
            <w:r>
              <w:rPr>
                <w:rFonts w:ascii="仿宋_GB2312" w:hAnsi="宋体" w:cs="宋体"/>
                <w:kern w:val="0"/>
                <w:sz w:val="24"/>
              </w:rPr>
              <w:t>2020</w:t>
            </w:r>
            <w:r>
              <w:rPr>
                <w:rFonts w:hint="eastAsia" w:ascii="仿宋_GB2312" w:hAnsi="宋体" w:cs="宋体"/>
                <w:kern w:val="0"/>
                <w:sz w:val="24"/>
              </w:rPr>
              <w:t>年</w:t>
            </w:r>
            <w:r>
              <w:rPr>
                <w:rFonts w:ascii="仿宋_GB2312" w:hAnsi="宋体" w:cs="宋体"/>
                <w:kern w:val="0"/>
                <w:sz w:val="24"/>
              </w:rPr>
              <w:t>10</w:t>
            </w:r>
            <w:r>
              <w:rPr>
                <w:rFonts w:hint="eastAsia" w:ascii="仿宋_GB2312" w:hAnsi="宋体" w:cs="宋体"/>
                <w:kern w:val="0"/>
                <w:sz w:val="24"/>
              </w:rPr>
              <w:t>月</w:t>
            </w:r>
            <w:r>
              <w:rPr>
                <w:rFonts w:ascii="仿宋_GB2312" w:hAnsi="宋体" w:cs="宋体"/>
                <w:kern w:val="0"/>
                <w:sz w:val="24"/>
              </w:rPr>
              <w:t>31</w:t>
            </w:r>
            <w:r>
              <w:rPr>
                <w:rFonts w:hint="eastAsia" w:ascii="仿宋_GB2312" w:hAnsi="宋体" w:cs="宋体"/>
                <w:kern w:val="0"/>
                <w:sz w:val="24"/>
              </w:rPr>
              <w:t>日，</w:t>
            </w:r>
            <w:r>
              <w:rPr>
                <w:rFonts w:ascii="仿宋_GB2312" w:hAnsi="宋体" w:cs="宋体"/>
                <w:kern w:val="0"/>
                <w:sz w:val="24"/>
              </w:rPr>
              <w:t>90%</w:t>
            </w:r>
            <w:r>
              <w:rPr>
                <w:rFonts w:hint="eastAsia" w:ascii="仿宋_GB2312" w:hAnsi="宋体" w:cs="宋体"/>
                <w:kern w:val="0"/>
                <w:sz w:val="24"/>
              </w:rPr>
              <w:t>的任务路段完成治理。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7B7C"/>
    <w:rsid w:val="4AB0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2020-02-18T02:20:00Z</dcterms:created>
  <dc:creator>Wang王小瑶</dc:creator>
  <cp:lastModifiedBy>Wang王小瑶</cp:lastModifiedBy>
  <dcterms:modified xsi:type="dcterms:W3CDTF">2020-02-18T02:21:28Z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